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ACB" w14:textId="77777777" w:rsidR="003E31CC" w:rsidRPr="00C50956" w:rsidRDefault="003E31CC" w:rsidP="009C09DF">
      <w:pPr>
        <w:spacing w:after="0"/>
        <w:ind w:firstLine="708"/>
        <w:jc w:val="center"/>
        <w:rPr>
          <w:rFonts w:ascii="Palatino Linotype" w:hAnsi="Palatino Linotype"/>
          <w:sz w:val="30"/>
          <w:szCs w:val="30"/>
          <w:lang w:val="en-US"/>
        </w:rPr>
      </w:pPr>
    </w:p>
    <w:p w14:paraId="0D7C558F" w14:textId="77777777" w:rsidR="00EC60C5" w:rsidRPr="009C09DF" w:rsidRDefault="00EC60C5" w:rsidP="009C09DF">
      <w:pPr>
        <w:spacing w:after="0"/>
        <w:ind w:firstLine="708"/>
        <w:jc w:val="center"/>
        <w:rPr>
          <w:rFonts w:ascii="Palatino Linotype" w:hAnsi="Palatino Linotype"/>
          <w:sz w:val="30"/>
          <w:szCs w:val="30"/>
          <w:lang w:val="tg-Cyrl-TJ"/>
        </w:rPr>
      </w:pPr>
    </w:p>
    <w:p w14:paraId="75EB1381" w14:textId="6F601D39" w:rsidR="00EC60C5" w:rsidRPr="009C09DF" w:rsidRDefault="002478F5" w:rsidP="009C09DF">
      <w:pPr>
        <w:spacing w:after="0"/>
        <w:ind w:firstLine="708"/>
        <w:jc w:val="center"/>
        <w:rPr>
          <w:rFonts w:ascii="Palatino Linotype" w:hAnsi="Palatino Linotype"/>
          <w:sz w:val="30"/>
          <w:szCs w:val="30"/>
          <w:lang w:val="tg-Cyrl-TJ"/>
        </w:rPr>
      </w:pPr>
      <w:r w:rsidRPr="009C09DF">
        <w:rPr>
          <w:rFonts w:ascii="Palatino Linotype" w:hAnsi="Palatino Linotype"/>
          <w:noProof/>
          <w:sz w:val="30"/>
          <w:szCs w:val="30"/>
          <w:lang w:eastAsia="ru-RU"/>
        </w:rPr>
        <w:drawing>
          <wp:anchor distT="0" distB="0" distL="114300" distR="114300" simplePos="0" relativeHeight="251658240" behindDoc="1" locked="0" layoutInCell="1" allowOverlap="1" wp14:anchorId="3507ABC7" wp14:editId="056E5217">
            <wp:simplePos x="0" y="0"/>
            <wp:positionH relativeFrom="column">
              <wp:posOffset>2030620</wp:posOffset>
            </wp:positionH>
            <wp:positionV relativeFrom="paragraph">
              <wp:posOffset>224901</wp:posOffset>
            </wp:positionV>
            <wp:extent cx="1295400" cy="1171575"/>
            <wp:effectExtent l="0" t="0" r="0" b="9525"/>
            <wp:wrapTight wrapText="bothSides">
              <wp:wrapPolygon edited="0">
                <wp:start x="0" y="0"/>
                <wp:lineTo x="0" y="21424"/>
                <wp:lineTo x="21282" y="21424"/>
                <wp:lineTo x="21282" y="0"/>
                <wp:lineTo x="0" y="0"/>
              </wp:wrapPolygon>
            </wp:wrapTight>
            <wp:docPr id="1" name="Рисунок 1" descr="Description: Описание: Герб Т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escription: Описание: Герб Тад"/>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843C8" w14:textId="027220C7" w:rsidR="00EC60C5" w:rsidRPr="009C09DF" w:rsidRDefault="00EC60C5" w:rsidP="009C09DF">
      <w:pPr>
        <w:spacing w:after="0"/>
        <w:ind w:firstLine="708"/>
        <w:jc w:val="center"/>
        <w:rPr>
          <w:rFonts w:ascii="Palatino Linotype" w:hAnsi="Palatino Linotype"/>
          <w:sz w:val="30"/>
          <w:szCs w:val="30"/>
          <w:lang w:val="tg-Cyrl-TJ"/>
        </w:rPr>
      </w:pPr>
    </w:p>
    <w:p w14:paraId="132D3CAE" w14:textId="77777777" w:rsidR="00EC60C5" w:rsidRPr="009C09DF" w:rsidRDefault="00EC60C5" w:rsidP="009C09DF">
      <w:pPr>
        <w:spacing w:after="0"/>
        <w:ind w:firstLine="708"/>
        <w:jc w:val="center"/>
        <w:rPr>
          <w:rFonts w:ascii="Palatino Linotype" w:hAnsi="Palatino Linotype"/>
          <w:sz w:val="30"/>
          <w:szCs w:val="30"/>
          <w:lang w:val="tg-Cyrl-TJ"/>
        </w:rPr>
      </w:pPr>
    </w:p>
    <w:p w14:paraId="497D9DB3" w14:textId="77777777" w:rsidR="00EC60C5" w:rsidRPr="009C09DF" w:rsidRDefault="00EC60C5" w:rsidP="009C09DF">
      <w:pPr>
        <w:spacing w:after="0"/>
        <w:ind w:firstLine="708"/>
        <w:jc w:val="center"/>
        <w:rPr>
          <w:rFonts w:ascii="Palatino Linotype" w:hAnsi="Palatino Linotype"/>
          <w:sz w:val="30"/>
          <w:szCs w:val="30"/>
          <w:lang w:val="tg-Cyrl-TJ"/>
        </w:rPr>
      </w:pPr>
    </w:p>
    <w:p w14:paraId="7317C898" w14:textId="77777777" w:rsidR="00EC60C5" w:rsidRPr="009C09DF" w:rsidRDefault="00EC60C5" w:rsidP="009C09DF">
      <w:pPr>
        <w:spacing w:after="0"/>
        <w:ind w:firstLine="708"/>
        <w:jc w:val="center"/>
        <w:rPr>
          <w:rFonts w:ascii="Palatino Linotype" w:hAnsi="Palatino Linotype"/>
          <w:sz w:val="30"/>
          <w:szCs w:val="30"/>
          <w:lang w:val="tg-Cyrl-TJ"/>
        </w:rPr>
      </w:pPr>
    </w:p>
    <w:p w14:paraId="727776FC" w14:textId="77777777" w:rsidR="00EC60C5" w:rsidRPr="009C09DF" w:rsidRDefault="00EC60C5" w:rsidP="009C09DF">
      <w:pPr>
        <w:spacing w:after="0"/>
        <w:ind w:firstLine="708"/>
        <w:jc w:val="center"/>
        <w:rPr>
          <w:rFonts w:ascii="Palatino Linotype" w:hAnsi="Palatino Linotype"/>
          <w:sz w:val="30"/>
          <w:szCs w:val="30"/>
          <w:lang w:val="tg-Cyrl-TJ"/>
        </w:rPr>
      </w:pPr>
    </w:p>
    <w:p w14:paraId="6C1CA6D8" w14:textId="77777777" w:rsidR="00EC60C5" w:rsidRPr="009C09DF" w:rsidRDefault="00EC60C5" w:rsidP="009C09DF">
      <w:pPr>
        <w:spacing w:after="0"/>
        <w:ind w:firstLine="708"/>
        <w:jc w:val="center"/>
        <w:rPr>
          <w:rFonts w:ascii="Palatino Linotype" w:hAnsi="Palatino Linotype"/>
          <w:sz w:val="30"/>
          <w:szCs w:val="30"/>
          <w:lang w:val="tg-Cyrl-TJ"/>
        </w:rPr>
      </w:pPr>
    </w:p>
    <w:p w14:paraId="22398BB4" w14:textId="77777777" w:rsidR="00EC60C5" w:rsidRPr="009C09DF" w:rsidRDefault="00EC60C5" w:rsidP="009C09DF">
      <w:pPr>
        <w:spacing w:after="0"/>
        <w:ind w:firstLine="708"/>
        <w:jc w:val="center"/>
        <w:rPr>
          <w:rFonts w:ascii="Palatino Linotype" w:hAnsi="Palatino Linotype"/>
          <w:sz w:val="30"/>
          <w:szCs w:val="30"/>
          <w:lang w:val="tg-Cyrl-TJ"/>
        </w:rPr>
      </w:pPr>
    </w:p>
    <w:p w14:paraId="14B14D23" w14:textId="77777777" w:rsidR="00EC60C5" w:rsidRPr="009C09DF" w:rsidRDefault="00EC60C5" w:rsidP="009C09DF">
      <w:pPr>
        <w:spacing w:after="0"/>
        <w:ind w:firstLine="708"/>
        <w:jc w:val="center"/>
        <w:rPr>
          <w:rFonts w:ascii="Palatino Linotype" w:hAnsi="Palatino Linotype"/>
          <w:sz w:val="30"/>
          <w:szCs w:val="30"/>
          <w:lang w:val="tg-Cyrl-TJ"/>
        </w:rPr>
      </w:pPr>
    </w:p>
    <w:p w14:paraId="70E8FBE6" w14:textId="77777777" w:rsidR="00EC60C5" w:rsidRPr="009C09DF" w:rsidRDefault="00EC60C5" w:rsidP="009C09DF">
      <w:pPr>
        <w:spacing w:after="0"/>
        <w:ind w:firstLine="708"/>
        <w:jc w:val="center"/>
        <w:rPr>
          <w:rFonts w:ascii="Palatino Linotype" w:hAnsi="Palatino Linotype"/>
          <w:sz w:val="30"/>
          <w:szCs w:val="30"/>
          <w:lang w:val="tg-Cyrl-TJ"/>
        </w:rPr>
      </w:pPr>
    </w:p>
    <w:p w14:paraId="35148BA2" w14:textId="77777777" w:rsidR="00EC60C5" w:rsidRPr="009C09DF" w:rsidRDefault="00EC60C5" w:rsidP="009C09DF">
      <w:pPr>
        <w:spacing w:after="0"/>
        <w:ind w:firstLine="708"/>
        <w:jc w:val="center"/>
        <w:rPr>
          <w:rFonts w:ascii="Palatino Linotype" w:hAnsi="Palatino Linotype"/>
          <w:sz w:val="30"/>
          <w:szCs w:val="30"/>
          <w:lang w:val="tg-Cyrl-TJ"/>
        </w:rPr>
      </w:pPr>
    </w:p>
    <w:p w14:paraId="703DA109" w14:textId="77777777" w:rsidR="00EC60C5" w:rsidRPr="00184FE8" w:rsidRDefault="00EC60C5" w:rsidP="009C09DF">
      <w:pPr>
        <w:spacing w:after="0"/>
        <w:ind w:firstLine="708"/>
        <w:jc w:val="center"/>
        <w:rPr>
          <w:rFonts w:ascii="Palatino Linotype" w:hAnsi="Palatino Linotype"/>
          <w:sz w:val="32"/>
          <w:szCs w:val="32"/>
          <w:lang w:val="tg-Cyrl-TJ"/>
        </w:rPr>
      </w:pPr>
    </w:p>
    <w:p w14:paraId="0757D8A6" w14:textId="77777777" w:rsidR="00EC60C5" w:rsidRPr="00FE6271" w:rsidRDefault="00EC60C5" w:rsidP="009C09DF">
      <w:pPr>
        <w:spacing w:after="0"/>
        <w:ind w:firstLine="708"/>
        <w:jc w:val="center"/>
        <w:rPr>
          <w:rFonts w:ascii="Times New Roman" w:hAnsi="Times New Roman"/>
          <w:sz w:val="28"/>
          <w:szCs w:val="28"/>
          <w:lang w:val="tg-Cyrl-TJ"/>
        </w:rPr>
      </w:pPr>
      <w:r w:rsidRPr="00FE6271">
        <w:rPr>
          <w:rFonts w:ascii="Times New Roman" w:hAnsi="Times New Roman"/>
          <w:sz w:val="28"/>
          <w:szCs w:val="28"/>
          <w:lang w:val="tg-Cyrl-TJ"/>
        </w:rPr>
        <w:t>Варақаи иттилоотӣ</w:t>
      </w:r>
    </w:p>
    <w:p w14:paraId="501F0DE1" w14:textId="77777777" w:rsidR="00EC60C5" w:rsidRPr="00FE6271" w:rsidRDefault="00EC60C5" w:rsidP="009C09DF">
      <w:pPr>
        <w:spacing w:after="0"/>
        <w:ind w:firstLine="708"/>
        <w:jc w:val="center"/>
        <w:rPr>
          <w:rFonts w:ascii="Times New Roman" w:hAnsi="Times New Roman"/>
          <w:sz w:val="28"/>
          <w:szCs w:val="28"/>
          <w:lang w:val="tg-Cyrl-TJ"/>
        </w:rPr>
      </w:pPr>
      <w:r w:rsidRPr="00FE6271">
        <w:rPr>
          <w:rFonts w:ascii="Times New Roman" w:hAnsi="Times New Roman"/>
          <w:sz w:val="28"/>
          <w:szCs w:val="28"/>
          <w:lang w:val="tg-Cyrl-TJ"/>
        </w:rPr>
        <w:t>оид ба ҷамъбасти натиҷаҳои фаъолияти</w:t>
      </w:r>
    </w:p>
    <w:p w14:paraId="38509D34" w14:textId="77777777" w:rsidR="00CD5BB8" w:rsidRPr="00FE6271" w:rsidRDefault="00EC60C5" w:rsidP="009C09DF">
      <w:pPr>
        <w:spacing w:after="0"/>
        <w:ind w:firstLine="708"/>
        <w:jc w:val="center"/>
        <w:rPr>
          <w:rFonts w:ascii="Times New Roman" w:hAnsi="Times New Roman"/>
          <w:sz w:val="28"/>
          <w:szCs w:val="28"/>
          <w:lang w:val="tg-Cyrl-TJ"/>
        </w:rPr>
      </w:pPr>
      <w:r w:rsidRPr="00FE6271">
        <w:rPr>
          <w:rFonts w:ascii="Times New Roman" w:hAnsi="Times New Roman"/>
          <w:sz w:val="28"/>
          <w:szCs w:val="28"/>
          <w:lang w:val="tg-Cyrl-TJ"/>
        </w:rPr>
        <w:t>Кумитаи давлатии сармоягузорӣ ва идораи амволи давлат</w:t>
      </w:r>
      <w:r w:rsidR="00CD5BB8" w:rsidRPr="00FE6271">
        <w:rPr>
          <w:rFonts w:ascii="Times New Roman" w:hAnsi="Times New Roman"/>
          <w:sz w:val="28"/>
          <w:szCs w:val="28"/>
          <w:lang w:val="tg-Cyrl-TJ"/>
        </w:rPr>
        <w:t xml:space="preserve">ии </w:t>
      </w:r>
    </w:p>
    <w:p w14:paraId="526445B5" w14:textId="6B690E25" w:rsidR="00EC60C5" w:rsidRPr="00FE6271" w:rsidRDefault="00CD5BB8" w:rsidP="009C09DF">
      <w:pPr>
        <w:spacing w:after="0"/>
        <w:ind w:firstLine="708"/>
        <w:jc w:val="center"/>
        <w:rPr>
          <w:rFonts w:ascii="Times New Roman" w:hAnsi="Times New Roman"/>
          <w:sz w:val="28"/>
          <w:szCs w:val="28"/>
          <w:lang w:val="tg-Cyrl-TJ"/>
        </w:rPr>
      </w:pPr>
      <w:r w:rsidRPr="00FE6271">
        <w:rPr>
          <w:rFonts w:ascii="Times New Roman" w:hAnsi="Times New Roman"/>
          <w:sz w:val="28"/>
          <w:szCs w:val="28"/>
          <w:lang w:val="tg-Cyrl-TJ"/>
        </w:rPr>
        <w:t>Ҷумҳурии Тоҷикистон</w:t>
      </w:r>
    </w:p>
    <w:p w14:paraId="6BD309D7" w14:textId="601D1765" w:rsidR="00EC60C5" w:rsidRPr="00FE6271" w:rsidRDefault="00EC60C5" w:rsidP="009C09DF">
      <w:pPr>
        <w:spacing w:after="0"/>
        <w:ind w:firstLine="708"/>
        <w:jc w:val="center"/>
        <w:rPr>
          <w:rFonts w:ascii="Times New Roman" w:hAnsi="Times New Roman"/>
          <w:sz w:val="28"/>
          <w:szCs w:val="28"/>
          <w:lang w:val="tg-Cyrl-TJ"/>
        </w:rPr>
      </w:pPr>
      <w:r w:rsidRPr="00FE6271">
        <w:rPr>
          <w:rFonts w:ascii="Times New Roman" w:hAnsi="Times New Roman"/>
          <w:sz w:val="28"/>
          <w:szCs w:val="28"/>
          <w:lang w:val="tg-Cyrl-TJ"/>
        </w:rPr>
        <w:t xml:space="preserve">дар </w:t>
      </w:r>
      <w:r w:rsidR="00764121" w:rsidRPr="00FE6271">
        <w:rPr>
          <w:rFonts w:ascii="Times New Roman" w:hAnsi="Times New Roman"/>
          <w:sz w:val="28"/>
          <w:szCs w:val="28"/>
          <w:lang w:val="tg-Cyrl-TJ"/>
        </w:rPr>
        <w:t xml:space="preserve"> </w:t>
      </w:r>
      <w:r w:rsidRPr="00FE6271">
        <w:rPr>
          <w:rFonts w:ascii="Times New Roman" w:hAnsi="Times New Roman"/>
          <w:sz w:val="28"/>
          <w:szCs w:val="28"/>
          <w:lang w:val="tg-Cyrl-TJ"/>
        </w:rPr>
        <w:t>соли 202</w:t>
      </w:r>
      <w:r w:rsidR="00764121" w:rsidRPr="00FE6271">
        <w:rPr>
          <w:rFonts w:ascii="Times New Roman" w:hAnsi="Times New Roman"/>
          <w:sz w:val="28"/>
          <w:szCs w:val="28"/>
          <w:lang w:val="tg-Cyrl-TJ"/>
        </w:rPr>
        <w:t>5</w:t>
      </w:r>
    </w:p>
    <w:p w14:paraId="1A2D7C30" w14:textId="77777777" w:rsidR="00EC60C5" w:rsidRPr="00FE6271" w:rsidRDefault="00EC60C5" w:rsidP="009C09DF">
      <w:pPr>
        <w:spacing w:after="0"/>
        <w:ind w:firstLine="708"/>
        <w:jc w:val="center"/>
        <w:rPr>
          <w:rFonts w:ascii="Times New Roman" w:hAnsi="Times New Roman"/>
          <w:sz w:val="28"/>
          <w:szCs w:val="28"/>
          <w:lang w:val="tg-Cyrl-TJ"/>
        </w:rPr>
      </w:pPr>
    </w:p>
    <w:p w14:paraId="5E01F34F" w14:textId="77777777" w:rsidR="00EC60C5" w:rsidRPr="00FE6271" w:rsidRDefault="00EC60C5" w:rsidP="009C09DF">
      <w:pPr>
        <w:spacing w:after="0"/>
        <w:ind w:firstLine="708"/>
        <w:jc w:val="center"/>
        <w:rPr>
          <w:rFonts w:ascii="Times New Roman" w:hAnsi="Times New Roman"/>
          <w:sz w:val="28"/>
          <w:szCs w:val="28"/>
          <w:lang w:val="tg-Cyrl-TJ"/>
        </w:rPr>
      </w:pPr>
    </w:p>
    <w:p w14:paraId="0BE00E8B" w14:textId="77777777" w:rsidR="00EC60C5" w:rsidRPr="00FE6271" w:rsidRDefault="00EC60C5" w:rsidP="009C09DF">
      <w:pPr>
        <w:spacing w:after="0"/>
        <w:ind w:firstLine="708"/>
        <w:jc w:val="center"/>
        <w:rPr>
          <w:rFonts w:ascii="Times New Roman" w:hAnsi="Times New Roman"/>
          <w:sz w:val="28"/>
          <w:szCs w:val="28"/>
          <w:lang w:val="tg-Cyrl-TJ"/>
        </w:rPr>
      </w:pPr>
    </w:p>
    <w:p w14:paraId="2D9AB31A" w14:textId="77777777" w:rsidR="00EC60C5" w:rsidRPr="00FE6271" w:rsidRDefault="00EC60C5" w:rsidP="009C09DF">
      <w:pPr>
        <w:spacing w:after="0"/>
        <w:ind w:firstLine="708"/>
        <w:jc w:val="center"/>
        <w:rPr>
          <w:rFonts w:ascii="Times New Roman" w:hAnsi="Times New Roman"/>
          <w:sz w:val="28"/>
          <w:szCs w:val="28"/>
          <w:lang w:val="tg-Cyrl-TJ"/>
        </w:rPr>
      </w:pPr>
    </w:p>
    <w:p w14:paraId="22D5C6A9" w14:textId="77777777" w:rsidR="00EC60C5" w:rsidRPr="00FE6271" w:rsidRDefault="00EC60C5" w:rsidP="009C09DF">
      <w:pPr>
        <w:spacing w:after="0"/>
        <w:ind w:firstLine="708"/>
        <w:jc w:val="center"/>
        <w:rPr>
          <w:rFonts w:ascii="Times New Roman" w:hAnsi="Times New Roman"/>
          <w:sz w:val="28"/>
          <w:szCs w:val="28"/>
          <w:lang w:val="tg-Cyrl-TJ"/>
        </w:rPr>
      </w:pPr>
    </w:p>
    <w:p w14:paraId="7E330F8B" w14:textId="0104EF64" w:rsidR="00EC60C5" w:rsidRPr="00FE6271" w:rsidRDefault="00EC60C5" w:rsidP="009C09DF">
      <w:pPr>
        <w:spacing w:after="0"/>
        <w:ind w:firstLine="708"/>
        <w:jc w:val="center"/>
        <w:rPr>
          <w:rFonts w:ascii="Times New Roman" w:hAnsi="Times New Roman"/>
          <w:sz w:val="28"/>
          <w:szCs w:val="28"/>
          <w:lang w:val="tg-Cyrl-TJ"/>
        </w:rPr>
      </w:pPr>
    </w:p>
    <w:p w14:paraId="3560916A" w14:textId="542FEC49" w:rsidR="0079093C" w:rsidRPr="00FE6271" w:rsidRDefault="0079093C" w:rsidP="009C09DF">
      <w:pPr>
        <w:spacing w:after="0"/>
        <w:ind w:firstLine="708"/>
        <w:jc w:val="center"/>
        <w:rPr>
          <w:rFonts w:ascii="Times New Roman" w:hAnsi="Times New Roman"/>
          <w:sz w:val="28"/>
          <w:szCs w:val="28"/>
          <w:lang w:val="tg-Cyrl-TJ"/>
        </w:rPr>
      </w:pPr>
    </w:p>
    <w:p w14:paraId="4D887D11" w14:textId="15CCFB4F" w:rsidR="0079093C" w:rsidRPr="00FE6271" w:rsidRDefault="0079093C" w:rsidP="009C09DF">
      <w:pPr>
        <w:spacing w:after="0"/>
        <w:ind w:firstLine="708"/>
        <w:jc w:val="center"/>
        <w:rPr>
          <w:rFonts w:ascii="Times New Roman" w:hAnsi="Times New Roman"/>
          <w:sz w:val="28"/>
          <w:szCs w:val="28"/>
          <w:lang w:val="tg-Cyrl-TJ"/>
        </w:rPr>
      </w:pPr>
    </w:p>
    <w:p w14:paraId="73D1B7D3" w14:textId="04F58260" w:rsidR="0079093C" w:rsidRPr="00FE6271" w:rsidRDefault="0079093C" w:rsidP="009C09DF">
      <w:pPr>
        <w:spacing w:after="0"/>
        <w:ind w:firstLine="708"/>
        <w:jc w:val="center"/>
        <w:rPr>
          <w:rFonts w:ascii="Times New Roman" w:hAnsi="Times New Roman"/>
          <w:sz w:val="28"/>
          <w:szCs w:val="28"/>
          <w:lang w:val="tg-Cyrl-TJ"/>
        </w:rPr>
      </w:pPr>
    </w:p>
    <w:p w14:paraId="59975991" w14:textId="22D99D51" w:rsidR="0079093C" w:rsidRPr="00FE6271" w:rsidRDefault="0079093C" w:rsidP="009C09DF">
      <w:pPr>
        <w:spacing w:after="0"/>
        <w:ind w:firstLine="708"/>
        <w:jc w:val="center"/>
        <w:rPr>
          <w:rFonts w:ascii="Times New Roman" w:hAnsi="Times New Roman"/>
          <w:sz w:val="28"/>
          <w:szCs w:val="28"/>
          <w:lang w:val="tg-Cyrl-TJ"/>
        </w:rPr>
      </w:pPr>
    </w:p>
    <w:p w14:paraId="1174F75B" w14:textId="4C0A3662" w:rsidR="0079093C" w:rsidRPr="00FE6271" w:rsidRDefault="0079093C" w:rsidP="009C09DF">
      <w:pPr>
        <w:spacing w:after="0"/>
        <w:ind w:firstLine="708"/>
        <w:jc w:val="center"/>
        <w:rPr>
          <w:rFonts w:ascii="Times New Roman" w:hAnsi="Times New Roman"/>
          <w:sz w:val="28"/>
          <w:szCs w:val="28"/>
          <w:lang w:val="tg-Cyrl-TJ"/>
        </w:rPr>
      </w:pPr>
    </w:p>
    <w:p w14:paraId="3ED534EE" w14:textId="77777777" w:rsidR="0079093C" w:rsidRPr="00FE6271" w:rsidRDefault="0079093C" w:rsidP="009C09DF">
      <w:pPr>
        <w:spacing w:after="0"/>
        <w:ind w:firstLine="708"/>
        <w:jc w:val="center"/>
        <w:rPr>
          <w:rFonts w:ascii="Times New Roman" w:hAnsi="Times New Roman"/>
          <w:sz w:val="28"/>
          <w:szCs w:val="28"/>
          <w:lang w:val="tg-Cyrl-TJ"/>
        </w:rPr>
      </w:pPr>
    </w:p>
    <w:p w14:paraId="07E832A6" w14:textId="77777777" w:rsidR="00EC60C5" w:rsidRPr="00FE6271" w:rsidRDefault="00EC60C5" w:rsidP="009C09DF">
      <w:pPr>
        <w:spacing w:after="0"/>
        <w:ind w:firstLine="708"/>
        <w:jc w:val="center"/>
        <w:rPr>
          <w:rFonts w:ascii="Times New Roman" w:hAnsi="Times New Roman"/>
          <w:sz w:val="28"/>
          <w:szCs w:val="28"/>
          <w:lang w:val="tg-Cyrl-TJ"/>
        </w:rPr>
      </w:pPr>
    </w:p>
    <w:p w14:paraId="6D6E5DD6" w14:textId="2AB4203C" w:rsidR="00EC60C5" w:rsidRDefault="003E31CC" w:rsidP="009C09DF">
      <w:pPr>
        <w:spacing w:after="0"/>
        <w:jc w:val="center"/>
        <w:rPr>
          <w:rFonts w:ascii="Times New Roman" w:hAnsi="Times New Roman"/>
          <w:sz w:val="28"/>
          <w:szCs w:val="28"/>
          <w:lang w:val="tg-Cyrl-TJ"/>
        </w:rPr>
      </w:pPr>
      <w:r w:rsidRPr="00FE6271">
        <w:rPr>
          <w:rFonts w:ascii="Times New Roman" w:hAnsi="Times New Roman"/>
          <w:sz w:val="28"/>
          <w:szCs w:val="28"/>
          <w:lang w:val="tg-Cyrl-TJ"/>
        </w:rPr>
        <w:t>Д</w:t>
      </w:r>
      <w:r w:rsidR="00EC60C5" w:rsidRPr="00FE6271">
        <w:rPr>
          <w:rFonts w:ascii="Times New Roman" w:hAnsi="Times New Roman"/>
          <w:sz w:val="28"/>
          <w:szCs w:val="28"/>
          <w:lang w:val="tg-Cyrl-TJ"/>
        </w:rPr>
        <w:t>ушанбе-202</w:t>
      </w:r>
      <w:r w:rsidR="00B01893" w:rsidRPr="00FE6271">
        <w:rPr>
          <w:rFonts w:ascii="Times New Roman" w:hAnsi="Times New Roman"/>
          <w:sz w:val="28"/>
          <w:szCs w:val="28"/>
          <w:lang w:val="tg-Cyrl-TJ"/>
        </w:rPr>
        <w:t>6</w:t>
      </w:r>
    </w:p>
    <w:p w14:paraId="5B45686D" w14:textId="10C3F425" w:rsidR="00FE6271" w:rsidRDefault="00FE6271" w:rsidP="009C09DF">
      <w:pPr>
        <w:spacing w:after="0"/>
        <w:jc w:val="center"/>
        <w:rPr>
          <w:rFonts w:ascii="Times New Roman" w:hAnsi="Times New Roman"/>
          <w:sz w:val="28"/>
          <w:szCs w:val="28"/>
          <w:lang w:val="tg-Cyrl-TJ"/>
        </w:rPr>
      </w:pPr>
    </w:p>
    <w:p w14:paraId="4879DB0D" w14:textId="05D550A0" w:rsidR="00FE6271" w:rsidRDefault="00FE6271" w:rsidP="009C09DF">
      <w:pPr>
        <w:spacing w:after="0"/>
        <w:jc w:val="center"/>
        <w:rPr>
          <w:rFonts w:ascii="Times New Roman" w:hAnsi="Times New Roman"/>
          <w:sz w:val="28"/>
          <w:szCs w:val="28"/>
          <w:lang w:val="tg-Cyrl-TJ"/>
        </w:rPr>
      </w:pPr>
    </w:p>
    <w:p w14:paraId="6382C7DD" w14:textId="77777777" w:rsidR="00FE6271" w:rsidRPr="00FE6271" w:rsidRDefault="00FE6271" w:rsidP="009C09DF">
      <w:pPr>
        <w:spacing w:after="0"/>
        <w:jc w:val="center"/>
        <w:rPr>
          <w:rFonts w:ascii="Times New Roman" w:hAnsi="Times New Roman"/>
          <w:sz w:val="28"/>
          <w:szCs w:val="28"/>
          <w:lang w:val="tg-Cyrl-TJ"/>
        </w:rPr>
      </w:pPr>
    </w:p>
    <w:p w14:paraId="5CD96A8A" w14:textId="182179DE" w:rsidR="00157BED" w:rsidRPr="00FE6271" w:rsidRDefault="00157BED" w:rsidP="009C09DF">
      <w:pPr>
        <w:spacing w:after="0"/>
        <w:jc w:val="center"/>
        <w:rPr>
          <w:rFonts w:ascii="Palatino Linotype" w:hAnsi="Palatino Linotype"/>
          <w:sz w:val="28"/>
          <w:szCs w:val="28"/>
          <w:lang w:val="tg-Cyrl-TJ"/>
        </w:rPr>
      </w:pPr>
    </w:p>
    <w:p w14:paraId="2B2D258E" w14:textId="2B3A5CE7" w:rsidR="00CD5BB8" w:rsidRDefault="00CD5BB8" w:rsidP="00184FE8">
      <w:pPr>
        <w:spacing w:after="0" w:line="240" w:lineRule="auto"/>
        <w:ind w:firstLine="708"/>
        <w:jc w:val="center"/>
        <w:rPr>
          <w:rFonts w:ascii="Times New Roman" w:hAnsi="Times New Roman"/>
          <w:sz w:val="28"/>
          <w:szCs w:val="28"/>
          <w:lang w:val="tg-Cyrl-TJ"/>
        </w:rPr>
      </w:pPr>
      <w:r w:rsidRPr="00FE6271">
        <w:rPr>
          <w:rFonts w:ascii="Times New Roman" w:hAnsi="Times New Roman"/>
          <w:sz w:val="28"/>
          <w:szCs w:val="28"/>
          <w:lang w:val="tg-Cyrl-TJ"/>
        </w:rPr>
        <w:lastRenderedPageBreak/>
        <w:t>ҶАМЪБАСТИ</w:t>
      </w:r>
    </w:p>
    <w:p w14:paraId="790AC7CE" w14:textId="77777777" w:rsidR="00FE6271" w:rsidRPr="00FE6271" w:rsidRDefault="00FE6271" w:rsidP="00184FE8">
      <w:pPr>
        <w:spacing w:after="0" w:line="240" w:lineRule="auto"/>
        <w:ind w:firstLine="708"/>
        <w:jc w:val="center"/>
        <w:rPr>
          <w:rFonts w:ascii="Times New Roman" w:hAnsi="Times New Roman"/>
          <w:sz w:val="28"/>
          <w:szCs w:val="28"/>
          <w:lang w:val="tg-Cyrl-TJ"/>
        </w:rPr>
      </w:pPr>
    </w:p>
    <w:p w14:paraId="1F84AB1B" w14:textId="59244B1B" w:rsidR="00CD5BB8" w:rsidRPr="00FE6271" w:rsidRDefault="00CD5BB8" w:rsidP="00184FE8">
      <w:pPr>
        <w:spacing w:after="0" w:line="240" w:lineRule="auto"/>
        <w:ind w:firstLine="708"/>
        <w:jc w:val="center"/>
        <w:rPr>
          <w:rFonts w:ascii="Times New Roman" w:hAnsi="Times New Roman"/>
          <w:sz w:val="28"/>
          <w:szCs w:val="28"/>
          <w:lang w:val="tg-Cyrl-TJ"/>
        </w:rPr>
      </w:pPr>
      <w:r w:rsidRPr="00FE6271">
        <w:rPr>
          <w:rFonts w:ascii="Times New Roman" w:hAnsi="Times New Roman"/>
          <w:sz w:val="28"/>
          <w:szCs w:val="28"/>
          <w:lang w:val="tg-Cyrl-TJ"/>
        </w:rPr>
        <w:t>натиҷаҳои фаъолияти Кумитаи давлатии сармоягузорӣ ва идораи амволи давлатии Ҷумҳурии Тоҷикистон</w:t>
      </w:r>
      <w:r w:rsidR="00184FE8" w:rsidRPr="00FE6271">
        <w:rPr>
          <w:rFonts w:ascii="Times New Roman" w:hAnsi="Times New Roman"/>
          <w:sz w:val="28"/>
          <w:szCs w:val="28"/>
          <w:lang w:val="tg-Cyrl-TJ"/>
        </w:rPr>
        <w:t xml:space="preserve"> </w:t>
      </w:r>
      <w:r w:rsidRPr="00FE6271">
        <w:rPr>
          <w:rFonts w:ascii="Times New Roman" w:hAnsi="Times New Roman"/>
          <w:sz w:val="28"/>
          <w:szCs w:val="28"/>
          <w:lang w:val="tg-Cyrl-TJ"/>
        </w:rPr>
        <w:t>дар соли 202</w:t>
      </w:r>
      <w:r w:rsidR="00764121" w:rsidRPr="00FE6271">
        <w:rPr>
          <w:rFonts w:ascii="Times New Roman" w:hAnsi="Times New Roman"/>
          <w:sz w:val="28"/>
          <w:szCs w:val="28"/>
          <w:lang w:val="tg-Cyrl-TJ"/>
        </w:rPr>
        <w:t>5</w:t>
      </w:r>
    </w:p>
    <w:p w14:paraId="26535C3C" w14:textId="77777777" w:rsidR="00CD5BB8" w:rsidRPr="00FE6271" w:rsidRDefault="00CD5BB8" w:rsidP="00184FE8">
      <w:pPr>
        <w:spacing w:after="0" w:line="240" w:lineRule="auto"/>
        <w:ind w:firstLine="851"/>
        <w:jc w:val="both"/>
        <w:rPr>
          <w:rFonts w:ascii="Times New Roman" w:hAnsi="Times New Roman"/>
          <w:sz w:val="28"/>
          <w:szCs w:val="28"/>
          <w:lang w:val="tg-Cyrl-TJ"/>
        </w:rPr>
      </w:pPr>
    </w:p>
    <w:p w14:paraId="6FCE9CA1" w14:textId="0E83BE30" w:rsidR="00EC60C5" w:rsidRPr="00FE6271" w:rsidRDefault="00EC60C5" w:rsidP="00184FE8">
      <w:pPr>
        <w:spacing w:after="0" w:line="240" w:lineRule="auto"/>
        <w:ind w:firstLine="851"/>
        <w:jc w:val="both"/>
        <w:rPr>
          <w:rFonts w:ascii="Times New Roman" w:hAnsi="Times New Roman"/>
          <w:sz w:val="28"/>
          <w:szCs w:val="28"/>
          <w:lang w:val="az-Cyrl-AZ"/>
        </w:rPr>
      </w:pPr>
      <w:r w:rsidRPr="00FE6271">
        <w:rPr>
          <w:rFonts w:ascii="Times New Roman" w:hAnsi="Times New Roman"/>
          <w:sz w:val="28"/>
          <w:szCs w:val="28"/>
          <w:lang w:val="tg-Cyrl-TJ"/>
        </w:rPr>
        <w:t xml:space="preserve">Кумитаи давлатии сармоягузорӣ ва идораи амволи давлатӣ </w:t>
      </w:r>
      <w:r w:rsidR="00CD5BB8" w:rsidRPr="00FE6271">
        <w:rPr>
          <w:rFonts w:ascii="Times New Roman" w:hAnsi="Times New Roman"/>
          <w:sz w:val="28"/>
          <w:szCs w:val="28"/>
          <w:lang w:val="tg-Cyrl-TJ"/>
        </w:rPr>
        <w:t xml:space="preserve">дар давраи ҳисоботӣ </w:t>
      </w:r>
      <w:r w:rsidRPr="00FE6271">
        <w:rPr>
          <w:rFonts w:ascii="Times New Roman" w:hAnsi="Times New Roman"/>
          <w:sz w:val="28"/>
          <w:szCs w:val="28"/>
          <w:lang w:val="tg-Cyrl-TJ"/>
        </w:rPr>
        <w:t xml:space="preserve">фаъолияти худро </w:t>
      </w:r>
      <w:r w:rsidR="0079093C" w:rsidRPr="00FE6271">
        <w:rPr>
          <w:rFonts w:ascii="Times New Roman" w:hAnsi="Times New Roman"/>
          <w:sz w:val="28"/>
          <w:szCs w:val="28"/>
          <w:lang w:val="tg-Cyrl-TJ"/>
        </w:rPr>
        <w:t>ҷиҳати</w:t>
      </w:r>
      <w:r w:rsidR="00CD5BB8" w:rsidRPr="00FE6271">
        <w:rPr>
          <w:rFonts w:ascii="Times New Roman" w:hAnsi="Times New Roman"/>
          <w:sz w:val="28"/>
          <w:szCs w:val="28"/>
          <w:lang w:val="tg-Cyrl-TJ"/>
        </w:rPr>
        <w:t xml:space="preserve"> </w:t>
      </w:r>
      <w:r w:rsidRPr="00FE6271">
        <w:rPr>
          <w:rFonts w:ascii="Times New Roman" w:hAnsi="Times New Roman"/>
          <w:sz w:val="28"/>
          <w:szCs w:val="28"/>
          <w:lang w:val="tg-Cyrl-TJ"/>
        </w:rPr>
        <w:t>беҳтар намудани фазои сармоягузор</w:t>
      </w:r>
      <w:r w:rsidR="00397FAE" w:rsidRPr="00FE6271">
        <w:rPr>
          <w:rFonts w:ascii="Times New Roman" w:hAnsi="Times New Roman"/>
          <w:sz w:val="28"/>
          <w:szCs w:val="28"/>
          <w:lang w:val="tg-Cyrl-TJ"/>
        </w:rPr>
        <w:t>ию соҳибкорӣ</w:t>
      </w:r>
      <w:r w:rsidRPr="00FE6271">
        <w:rPr>
          <w:rFonts w:ascii="Times New Roman" w:hAnsi="Times New Roman"/>
          <w:sz w:val="28"/>
          <w:szCs w:val="28"/>
          <w:lang w:val="tg-Cyrl-TJ"/>
        </w:rPr>
        <w:t>, ҷалби сармоя</w:t>
      </w:r>
      <w:r w:rsidR="00301A7A" w:rsidRPr="00FE6271">
        <w:rPr>
          <w:rFonts w:ascii="Times New Roman" w:hAnsi="Times New Roman"/>
          <w:sz w:val="28"/>
          <w:szCs w:val="28"/>
          <w:lang w:val="tg-Cyrl-TJ"/>
        </w:rPr>
        <w:t>и хориҷӣ</w:t>
      </w:r>
      <w:r w:rsidRPr="00FE6271">
        <w:rPr>
          <w:rFonts w:ascii="Times New Roman" w:hAnsi="Times New Roman"/>
          <w:sz w:val="28"/>
          <w:szCs w:val="28"/>
          <w:lang w:val="tg-Cyrl-TJ"/>
        </w:rPr>
        <w:t xml:space="preserve">, </w:t>
      </w:r>
      <w:r w:rsidR="00CD5BB8" w:rsidRPr="00FE6271">
        <w:rPr>
          <w:rFonts w:ascii="Times New Roman" w:hAnsi="Times New Roman"/>
          <w:sz w:val="28"/>
          <w:szCs w:val="28"/>
          <w:lang w:val="tg-Cyrl-TJ"/>
        </w:rPr>
        <w:t xml:space="preserve">татбиқи саривақтию самараноки лоиҳаҳои сармоягузории давлатӣ, </w:t>
      </w:r>
      <w:r w:rsidRPr="00FE6271">
        <w:rPr>
          <w:rFonts w:ascii="Times New Roman" w:hAnsi="Times New Roman"/>
          <w:sz w:val="28"/>
          <w:szCs w:val="28"/>
          <w:lang w:val="tg-Cyrl-TJ"/>
        </w:rPr>
        <w:t xml:space="preserve">дастгирии давлатии соҳибкорӣ ва истифодаи самараноки моликияти давлатӣ равона намуда, </w:t>
      </w:r>
      <w:r w:rsidR="00CD5BB8" w:rsidRPr="00FE6271">
        <w:rPr>
          <w:rFonts w:ascii="Times New Roman" w:hAnsi="Times New Roman"/>
          <w:sz w:val="28"/>
          <w:szCs w:val="28"/>
          <w:lang w:val="tg-Cyrl-TJ"/>
        </w:rPr>
        <w:t xml:space="preserve">ҷиҳати ноил гардидан ба ҳадафҳои </w:t>
      </w:r>
      <w:r w:rsidR="00C50956" w:rsidRPr="00FE6271">
        <w:rPr>
          <w:rFonts w:ascii="Times New Roman" w:hAnsi="Times New Roman"/>
          <w:sz w:val="28"/>
          <w:szCs w:val="28"/>
          <w:lang w:val="tg-Cyrl-TJ"/>
        </w:rPr>
        <w:t>аз ҷониби</w:t>
      </w:r>
      <w:r w:rsidR="00CD5BB8" w:rsidRPr="00FE6271">
        <w:rPr>
          <w:rFonts w:ascii="Times New Roman" w:hAnsi="Times New Roman"/>
          <w:sz w:val="28"/>
          <w:szCs w:val="28"/>
          <w:lang w:val="tg-Cyrl-TJ"/>
        </w:rPr>
        <w:t xml:space="preserve"> Президенти Ҷумҳурии Тоҷикистон ва Ҳукумати Ҷумҳурии Тоҷикистон</w:t>
      </w:r>
      <w:r w:rsidR="00D21919" w:rsidRPr="00FE6271">
        <w:rPr>
          <w:rFonts w:ascii="Times New Roman" w:hAnsi="Times New Roman"/>
          <w:sz w:val="28"/>
          <w:szCs w:val="28"/>
          <w:lang w:val="tg-Cyrl-TJ"/>
        </w:rPr>
        <w:t xml:space="preserve"> </w:t>
      </w:r>
      <w:r w:rsidR="00C50956" w:rsidRPr="00FE6271">
        <w:rPr>
          <w:rFonts w:ascii="Times New Roman" w:hAnsi="Times New Roman"/>
          <w:sz w:val="28"/>
          <w:szCs w:val="28"/>
          <w:lang w:val="tg-Cyrl-TJ"/>
        </w:rPr>
        <w:t xml:space="preserve">гузошташуда </w:t>
      </w:r>
      <w:r w:rsidRPr="00FE6271">
        <w:rPr>
          <w:rFonts w:ascii="Times New Roman" w:hAnsi="Times New Roman"/>
          <w:sz w:val="28"/>
          <w:szCs w:val="28"/>
          <w:lang w:val="az-Cyrl-AZ"/>
        </w:rPr>
        <w:t>чораҳои мушаххас андешида истодааст.</w:t>
      </w:r>
    </w:p>
    <w:p w14:paraId="3AB46583" w14:textId="77777777" w:rsidR="0079093C" w:rsidRPr="00FE6271" w:rsidRDefault="0079093C" w:rsidP="00184FE8">
      <w:pPr>
        <w:spacing w:after="0" w:line="240" w:lineRule="auto"/>
        <w:ind w:firstLine="851"/>
        <w:jc w:val="both"/>
        <w:rPr>
          <w:rFonts w:ascii="Times New Roman" w:hAnsi="Times New Roman"/>
          <w:sz w:val="28"/>
          <w:szCs w:val="28"/>
          <w:lang w:val="az-Cyrl-AZ"/>
        </w:rPr>
      </w:pPr>
    </w:p>
    <w:p w14:paraId="1C34765D" w14:textId="1007C125" w:rsidR="00133ACE" w:rsidRPr="00FE6271" w:rsidRDefault="00133ACE" w:rsidP="00184FE8">
      <w:pPr>
        <w:spacing w:after="0" w:line="240" w:lineRule="auto"/>
        <w:ind w:firstLine="851"/>
        <w:jc w:val="right"/>
        <w:rPr>
          <w:rFonts w:ascii="Times New Roman" w:hAnsi="Times New Roman"/>
          <w:b/>
          <w:color w:val="1F4E79" w:themeColor="accent1" w:themeShade="80"/>
          <w:sz w:val="28"/>
          <w:szCs w:val="28"/>
          <w:u w:val="single"/>
          <w:lang w:val="az-Cyrl-AZ"/>
        </w:rPr>
      </w:pPr>
      <w:r w:rsidRPr="00FE6271">
        <w:rPr>
          <w:rFonts w:ascii="Times New Roman" w:hAnsi="Times New Roman"/>
          <w:b/>
          <w:color w:val="1F4E79" w:themeColor="accent1" w:themeShade="80"/>
          <w:sz w:val="28"/>
          <w:szCs w:val="28"/>
          <w:u w:val="single"/>
          <w:lang w:val="az-Cyrl-AZ"/>
        </w:rPr>
        <w:t>САРМОЯИ ХОРИҶӢ</w:t>
      </w:r>
    </w:p>
    <w:p w14:paraId="7D0B748B" w14:textId="3F2BD65B" w:rsidR="00E95FA6" w:rsidRPr="00FE6271" w:rsidRDefault="00C50956" w:rsidP="00184FE8">
      <w:pPr>
        <w:spacing w:after="0" w:line="240" w:lineRule="auto"/>
        <w:ind w:firstLine="851"/>
        <w:jc w:val="both"/>
        <w:rPr>
          <w:rFonts w:ascii="Times New Roman" w:hAnsi="Times New Roman"/>
          <w:sz w:val="28"/>
          <w:szCs w:val="28"/>
          <w:lang w:val="tg-Cyrl-TJ"/>
        </w:rPr>
      </w:pPr>
      <w:r w:rsidRPr="00FE6271">
        <w:rPr>
          <w:rFonts w:ascii="Times New Roman" w:hAnsi="Times New Roman"/>
          <w:sz w:val="28"/>
          <w:szCs w:val="28"/>
          <w:lang w:val="tg-Cyrl-TJ"/>
        </w:rPr>
        <w:t>Д</w:t>
      </w:r>
      <w:r w:rsidR="00E95FA6" w:rsidRPr="00FE6271">
        <w:rPr>
          <w:rFonts w:ascii="Times New Roman" w:hAnsi="Times New Roman"/>
          <w:sz w:val="28"/>
          <w:szCs w:val="28"/>
          <w:lang w:val="tg-Cyrl-TJ"/>
        </w:rPr>
        <w:t xml:space="preserve">ар соли 2025 воридоти сармояи хориҷӣ ба иқтисодиёти Ҷумҳурии Тоҷикистон </w:t>
      </w:r>
      <w:r w:rsidR="00B94659" w:rsidRPr="00FE6271">
        <w:rPr>
          <w:rFonts w:ascii="Times New Roman" w:hAnsi="Times New Roman"/>
          <w:sz w:val="28"/>
          <w:szCs w:val="28"/>
          <w:lang w:val="tg-Cyrl-TJ"/>
        </w:rPr>
        <w:t xml:space="preserve">6 925,3 </w:t>
      </w:r>
      <w:r w:rsidR="00E95FA6" w:rsidRPr="00FE6271">
        <w:rPr>
          <w:rFonts w:ascii="Times New Roman" w:hAnsi="Times New Roman"/>
          <w:sz w:val="28"/>
          <w:szCs w:val="28"/>
          <w:lang w:val="tg-Cyrl-TJ"/>
        </w:rPr>
        <w:t xml:space="preserve">млн. доллари ИМА-ро ташкил додааст, ки ин нишодиҳанда нисбат ба соли 2024 дар ҳаҷми </w:t>
      </w:r>
      <w:r w:rsidR="00B94659" w:rsidRPr="00FE6271">
        <w:rPr>
          <w:rFonts w:ascii="Times New Roman" w:hAnsi="Times New Roman"/>
          <w:sz w:val="28"/>
          <w:szCs w:val="28"/>
          <w:lang w:val="tg-Cyrl-TJ"/>
        </w:rPr>
        <w:t xml:space="preserve">1 798,6 млн. доллари ИМА ё 35,1 </w:t>
      </w:r>
      <w:r w:rsidR="00E95FA6" w:rsidRPr="00FE6271">
        <w:rPr>
          <w:rFonts w:ascii="Times New Roman" w:hAnsi="Times New Roman"/>
          <w:sz w:val="28"/>
          <w:szCs w:val="28"/>
          <w:lang w:val="tg-Cyrl-TJ"/>
        </w:rPr>
        <w:t xml:space="preserve">фоиз зиёд мебошад. </w:t>
      </w:r>
    </w:p>
    <w:p w14:paraId="62BE037A" w14:textId="77777777" w:rsidR="00B94659" w:rsidRPr="00FE6271" w:rsidRDefault="00B94659" w:rsidP="00184FE8">
      <w:pPr>
        <w:tabs>
          <w:tab w:val="left" w:pos="851"/>
          <w:tab w:val="left" w:pos="993"/>
        </w:tabs>
        <w:spacing w:after="0" w:line="240" w:lineRule="auto"/>
        <w:ind w:firstLine="709"/>
        <w:contextualSpacing/>
        <w:jc w:val="both"/>
        <w:rPr>
          <w:rFonts w:ascii="Times New Roman" w:hAnsi="Times New Roman"/>
          <w:sz w:val="28"/>
          <w:szCs w:val="28"/>
          <w:lang w:val="tg-Cyrl-TJ"/>
        </w:rPr>
      </w:pPr>
      <w:r w:rsidRPr="00FE6271">
        <w:rPr>
          <w:rFonts w:ascii="Times New Roman" w:hAnsi="Times New Roman"/>
          <w:sz w:val="28"/>
          <w:szCs w:val="28"/>
          <w:lang w:val="tg-Cyrl-TJ"/>
        </w:rPr>
        <w:t xml:space="preserve">Дар ин давра воридоти сармояи хориҷӣ аз давлатҳои Иттиҳоди Давлатҳои Мустақил 3 031,0 млн. доллари ИМА ё 43,8 фоиз аз ҳаҷми умумиро ташкил намуда, нисбат ба соли 2024 дар ҳаҷми 1 067,3 млн. доллари ИМА ё 54,4 фоиз зиёд шудааст. </w:t>
      </w:r>
    </w:p>
    <w:p w14:paraId="114EFD5A" w14:textId="5131134B" w:rsidR="00B94659" w:rsidRPr="00FE6271" w:rsidRDefault="00B94659" w:rsidP="00184FE8">
      <w:pPr>
        <w:tabs>
          <w:tab w:val="left" w:pos="851"/>
          <w:tab w:val="left" w:pos="993"/>
        </w:tabs>
        <w:spacing w:after="0" w:line="240" w:lineRule="auto"/>
        <w:ind w:firstLine="709"/>
        <w:contextualSpacing/>
        <w:jc w:val="both"/>
        <w:rPr>
          <w:rFonts w:ascii="Times New Roman" w:hAnsi="Times New Roman"/>
          <w:sz w:val="28"/>
          <w:szCs w:val="28"/>
          <w:lang w:val="tg-Cyrl-TJ"/>
        </w:rPr>
      </w:pPr>
      <w:r w:rsidRPr="00FE6271">
        <w:rPr>
          <w:rFonts w:ascii="Times New Roman" w:hAnsi="Times New Roman"/>
          <w:sz w:val="28"/>
          <w:szCs w:val="28"/>
          <w:lang w:val="tg-Cyrl-TJ"/>
        </w:rPr>
        <w:t>Воридоти сармояи хориҷӣ аз кишварҳои хориҷии дур 3 894,3 млн. доллар ё 56,2 фоиз аз ҳаҷми умумиро ташкил намуда, дар муқоиса ба соли 2024 731,3 млн. доллари ИМА ё 23,1 фоиз зиёд шудааст.</w:t>
      </w:r>
    </w:p>
    <w:p w14:paraId="53D0C31C" w14:textId="5790B73D" w:rsidR="00B94659" w:rsidRPr="00FE6271" w:rsidRDefault="00B94659" w:rsidP="00184FE8">
      <w:pPr>
        <w:tabs>
          <w:tab w:val="left" w:pos="851"/>
          <w:tab w:val="left" w:pos="993"/>
        </w:tabs>
        <w:spacing w:after="0" w:line="240" w:lineRule="auto"/>
        <w:ind w:firstLine="709"/>
        <w:contextualSpacing/>
        <w:jc w:val="both"/>
        <w:rPr>
          <w:rFonts w:ascii="Times New Roman" w:hAnsi="Times New Roman"/>
          <w:sz w:val="28"/>
          <w:szCs w:val="28"/>
          <w:lang w:val="tg-Cyrl-TJ"/>
        </w:rPr>
      </w:pPr>
      <w:r w:rsidRPr="00FE6271">
        <w:rPr>
          <w:rFonts w:ascii="Times New Roman" w:hAnsi="Times New Roman"/>
          <w:bCs/>
          <w:sz w:val="28"/>
          <w:szCs w:val="28"/>
          <w:lang w:val="az-Cyrl-AZ"/>
        </w:rPr>
        <w:t xml:space="preserve">Бо мақсади ҷалби сармояи мустақими хориҷӣ ба иқтисодиёти мамлакат, ташкили ҷойҳои нави корӣ, баланд бардоштани иқтидори истеҳсолию содиротии кишвар ва дар ин замина ба роҳ мондани истеҳсоли маҳсулоти ивазкунандаи воридот, дар давраи ҳисоботӣ аз ҷониби Кумита тибқи қарорҳои дахлдори Ҳукумати Ҷумҳурии Тоҷикистон </w:t>
      </w:r>
      <w:r w:rsidR="00FE6271" w:rsidRPr="00FE6271">
        <w:rPr>
          <w:rFonts w:ascii="Times New Roman" w:hAnsi="Times New Roman"/>
          <w:bCs/>
          <w:sz w:val="28"/>
          <w:szCs w:val="28"/>
          <w:lang w:val="tg-Cyrl-TJ"/>
        </w:rPr>
        <w:t>9</w:t>
      </w:r>
      <w:r w:rsidRPr="00FE6271">
        <w:rPr>
          <w:rFonts w:ascii="Times New Roman" w:hAnsi="Times New Roman"/>
          <w:bCs/>
          <w:sz w:val="28"/>
          <w:szCs w:val="28"/>
          <w:lang w:val="tg-Cyrl-TJ"/>
        </w:rPr>
        <w:t xml:space="preserve"> созишномаи</w:t>
      </w:r>
      <w:r w:rsidRPr="00FE6271">
        <w:rPr>
          <w:rFonts w:ascii="Times New Roman" w:hAnsi="Times New Roman"/>
          <w:sz w:val="28"/>
          <w:szCs w:val="28"/>
          <w:lang w:val="tg-Cyrl-TJ"/>
        </w:rPr>
        <w:t xml:space="preserve"> сармоягузорӣ ба маблағи умумии </w:t>
      </w:r>
      <w:r w:rsidR="00FE6271" w:rsidRPr="00FE6271">
        <w:rPr>
          <w:rFonts w:ascii="Times New Roman" w:hAnsi="Times New Roman"/>
          <w:bCs/>
          <w:sz w:val="28"/>
          <w:szCs w:val="28"/>
          <w:lang w:val="tg-Cyrl-TJ"/>
        </w:rPr>
        <w:t>681</w:t>
      </w:r>
      <w:r w:rsidRPr="00FE6271">
        <w:rPr>
          <w:rFonts w:ascii="Times New Roman" w:hAnsi="Times New Roman"/>
          <w:bCs/>
          <w:sz w:val="28"/>
          <w:szCs w:val="28"/>
          <w:lang w:val="tg-Cyrl-TJ"/>
        </w:rPr>
        <w:t>,</w:t>
      </w:r>
      <w:r w:rsidR="00FE6271" w:rsidRPr="00FE6271">
        <w:rPr>
          <w:rFonts w:ascii="Times New Roman" w:hAnsi="Times New Roman"/>
          <w:bCs/>
          <w:sz w:val="28"/>
          <w:szCs w:val="28"/>
          <w:lang w:val="tg-Cyrl-TJ"/>
        </w:rPr>
        <w:t>2</w:t>
      </w:r>
      <w:r w:rsidRPr="00FE6271">
        <w:rPr>
          <w:rFonts w:ascii="Times New Roman" w:hAnsi="Times New Roman"/>
          <w:bCs/>
          <w:sz w:val="28"/>
          <w:szCs w:val="28"/>
          <w:lang w:val="tg-Cyrl-TJ"/>
        </w:rPr>
        <w:t xml:space="preserve"> млн</w:t>
      </w:r>
      <w:r w:rsidRPr="00FE6271">
        <w:rPr>
          <w:rFonts w:ascii="Times New Roman" w:hAnsi="Times New Roman"/>
          <w:sz w:val="28"/>
          <w:szCs w:val="28"/>
          <w:lang w:val="tg-Cyrl-TJ"/>
        </w:rPr>
        <w:t xml:space="preserve"> доллари ИМА бо ташкили беш аз 3 778 ҷойҳои кории нав ба имзо расонида шуд, ки татбиқи лоиҳаҳои афзалиятноки сармоягузориро дар соҳаҳои гуногуни иқтисодиёт дар бар мегирад.</w:t>
      </w:r>
    </w:p>
    <w:p w14:paraId="738F28A2" w14:textId="254D147C" w:rsidR="00B94659" w:rsidRPr="00FE6271" w:rsidRDefault="00B94659" w:rsidP="00184FE8">
      <w:pPr>
        <w:tabs>
          <w:tab w:val="left" w:pos="851"/>
          <w:tab w:val="left" w:pos="993"/>
        </w:tabs>
        <w:spacing w:after="0" w:line="240" w:lineRule="auto"/>
        <w:ind w:firstLine="709"/>
        <w:contextualSpacing/>
        <w:jc w:val="both"/>
        <w:rPr>
          <w:rFonts w:ascii="Times New Roman" w:hAnsi="Times New Roman"/>
          <w:sz w:val="28"/>
          <w:szCs w:val="28"/>
          <w:lang w:val="tg-Cyrl-TJ"/>
        </w:rPr>
      </w:pPr>
      <w:r w:rsidRPr="00FE6271">
        <w:rPr>
          <w:rFonts w:ascii="Times New Roman" w:hAnsi="Times New Roman"/>
          <w:sz w:val="28"/>
          <w:szCs w:val="28"/>
          <w:lang w:val="tg-Cyrl-TJ"/>
        </w:rPr>
        <w:t>Маврид ба зикр аст, ки яке аз омилҳои муҳими таъмини ҷалби сармояи хориҷӣ ин такмили заминаи меъёрии ҳуқуқӣ ва ба талаботи замони муосир мутобиқ намудани қонунгузорӣ дар самти сармоягузорӣ ба ҳисоб меравад.</w:t>
      </w:r>
    </w:p>
    <w:p w14:paraId="5616C384" w14:textId="420238BF" w:rsidR="00B94659" w:rsidRPr="00FE6271" w:rsidRDefault="00B94659" w:rsidP="00184FE8">
      <w:pPr>
        <w:tabs>
          <w:tab w:val="left" w:pos="851"/>
          <w:tab w:val="left" w:pos="993"/>
        </w:tabs>
        <w:spacing w:after="0" w:line="240" w:lineRule="auto"/>
        <w:ind w:firstLine="709"/>
        <w:contextualSpacing/>
        <w:jc w:val="both"/>
        <w:rPr>
          <w:rFonts w:ascii="Times New Roman" w:hAnsi="Times New Roman"/>
          <w:sz w:val="28"/>
          <w:szCs w:val="28"/>
          <w:lang w:val="tg-Cyrl-TJ"/>
        </w:rPr>
      </w:pPr>
      <w:r w:rsidRPr="00FE6271">
        <w:rPr>
          <w:rFonts w:ascii="Times New Roman" w:hAnsi="Times New Roman"/>
          <w:sz w:val="28"/>
          <w:szCs w:val="28"/>
          <w:lang w:val="tg-Cyrl-TJ"/>
        </w:rPr>
        <w:t xml:space="preserve">Бо ин мақсад, </w:t>
      </w:r>
      <w:r w:rsidR="00327719" w:rsidRPr="00FE6271">
        <w:rPr>
          <w:rFonts w:ascii="Times New Roman" w:hAnsi="Times New Roman"/>
          <w:sz w:val="28"/>
          <w:szCs w:val="28"/>
          <w:lang w:val="tg-Cyrl-TJ"/>
        </w:rPr>
        <w:t>бо пешниҳоди</w:t>
      </w:r>
      <w:r w:rsidRPr="00FE6271">
        <w:rPr>
          <w:rFonts w:ascii="Times New Roman" w:hAnsi="Times New Roman"/>
          <w:sz w:val="28"/>
          <w:szCs w:val="28"/>
          <w:lang w:val="tg-Cyrl-TJ"/>
        </w:rPr>
        <w:t xml:space="preserve"> Кумита Қонуни Ҷумҳурии Тоҷикистон «Дар бораи сармоя ва ҳавасмандгардонии фаъолияти сармоягузорӣ» дар таҳрири нав аз 14-уми майи соли 2025, таҳти №2173 </w:t>
      </w:r>
      <w:r w:rsidR="00327719" w:rsidRPr="00FE6271">
        <w:rPr>
          <w:rFonts w:ascii="Times New Roman" w:hAnsi="Times New Roman"/>
          <w:sz w:val="28"/>
          <w:szCs w:val="28"/>
          <w:lang w:val="tg-Cyrl-TJ"/>
        </w:rPr>
        <w:t>қабул гардид</w:t>
      </w:r>
      <w:r w:rsidRPr="00FE6271">
        <w:rPr>
          <w:rFonts w:ascii="Times New Roman" w:hAnsi="Times New Roman"/>
          <w:sz w:val="28"/>
          <w:szCs w:val="28"/>
          <w:lang w:val="tg-Cyrl-TJ"/>
        </w:rPr>
        <w:t>.</w:t>
      </w:r>
    </w:p>
    <w:p w14:paraId="425771C0" w14:textId="5E94825D" w:rsidR="00B94659" w:rsidRPr="00FE6271" w:rsidRDefault="00B94659" w:rsidP="00184FE8">
      <w:pPr>
        <w:tabs>
          <w:tab w:val="left" w:pos="851"/>
          <w:tab w:val="left" w:pos="993"/>
        </w:tabs>
        <w:spacing w:after="0" w:line="240" w:lineRule="auto"/>
        <w:ind w:firstLine="709"/>
        <w:contextualSpacing/>
        <w:jc w:val="both"/>
        <w:rPr>
          <w:rFonts w:ascii="Times New Roman" w:hAnsi="Times New Roman"/>
          <w:sz w:val="28"/>
          <w:szCs w:val="28"/>
          <w:lang w:val="tg-Cyrl-TJ"/>
        </w:rPr>
      </w:pPr>
      <w:r w:rsidRPr="00FE6271">
        <w:rPr>
          <w:rFonts w:ascii="Times New Roman" w:hAnsi="Times New Roman"/>
          <w:sz w:val="28"/>
          <w:szCs w:val="28"/>
          <w:lang w:val="tg-Cyrl-TJ"/>
        </w:rPr>
        <w:t xml:space="preserve">Инчунин, дар робита ба дастуру супоришҳои Пешвои миллат, Президенти Ҷумҳурии Тоҷикистон муҳтарам Эмомалӣ Раҳмон, ки аз Паём ба Маҷлиси Олии Ҷумҳурии Тоҷикистон аз </w:t>
      </w:r>
      <w:r w:rsidRPr="00FE6271">
        <w:rPr>
          <w:rFonts w:ascii="Times New Roman" w:eastAsia="Times New Roman" w:hAnsi="Times New Roman"/>
          <w:sz w:val="28"/>
          <w:szCs w:val="28"/>
          <w:lang w:val="tg-Cyrl-TJ" w:eastAsia="ru-RU"/>
        </w:rPr>
        <w:t>28-уми декабри соли 2024</w:t>
      </w:r>
      <w:r w:rsidRPr="00FE6271">
        <w:rPr>
          <w:rFonts w:ascii="Times New Roman" w:hAnsi="Times New Roman"/>
          <w:sz w:val="28"/>
          <w:szCs w:val="28"/>
          <w:lang w:val="tg-Cyrl-TJ"/>
        </w:rPr>
        <w:t xml:space="preserve"> бармеояд, «Стратегияи ҷалби сармоя ба Ҷумҳурии Тоҷикистон барои давраи то соли 2040» ва нақшаи чорабиниҳои он барои солҳои 2026 – 2030 бо қарори Ҳукумати Ҷумҳурии Тоҷикистон аз 1-уми июли соли 2025, №372 қабул гардид.</w:t>
      </w:r>
    </w:p>
    <w:p w14:paraId="025A1529" w14:textId="173A17EA" w:rsidR="00327719" w:rsidRPr="00FE6271" w:rsidRDefault="00327719" w:rsidP="00184FE8">
      <w:pPr>
        <w:tabs>
          <w:tab w:val="left" w:pos="851"/>
          <w:tab w:val="left" w:pos="993"/>
        </w:tabs>
        <w:spacing w:after="0" w:line="240" w:lineRule="auto"/>
        <w:ind w:firstLine="709"/>
        <w:contextualSpacing/>
        <w:jc w:val="both"/>
        <w:rPr>
          <w:rFonts w:ascii="Times New Roman" w:hAnsi="Times New Roman"/>
          <w:sz w:val="28"/>
          <w:szCs w:val="28"/>
          <w:highlight w:val="yellow"/>
          <w:lang w:val="tg-Cyrl-TJ"/>
        </w:rPr>
      </w:pPr>
      <w:r w:rsidRPr="00FE6271">
        <w:rPr>
          <w:rFonts w:ascii="Times New Roman" w:hAnsi="Times New Roman"/>
          <w:sz w:val="28"/>
          <w:szCs w:val="28"/>
          <w:lang w:val="tg-Cyrl-TJ"/>
        </w:rPr>
        <w:lastRenderedPageBreak/>
        <w:t xml:space="preserve">Бо дастгирӣ ва иштироку суханронии </w:t>
      </w:r>
      <w:r w:rsidRPr="00FE6271">
        <w:rPr>
          <w:rFonts w:ascii="Times New Roman" w:hAnsi="Times New Roman"/>
          <w:sz w:val="28"/>
          <w:szCs w:val="28"/>
          <w:lang w:val="tg-Cyrl-TJ"/>
        </w:rPr>
        <w:t xml:space="preserve">Асосгузори сулҳу ваҳдати миллӣ, Пешвои миллат, Президенти Ҷумҳурии Тоҷикистон муҳтарам Эмомалӣ Раҳмон </w:t>
      </w:r>
      <w:r w:rsidR="00FE6271">
        <w:rPr>
          <w:rFonts w:ascii="Times New Roman" w:hAnsi="Times New Roman"/>
          <w:sz w:val="28"/>
          <w:szCs w:val="28"/>
          <w:lang w:val="tg-Cyrl-TJ"/>
        </w:rPr>
        <w:t xml:space="preserve">рӯзҳои </w:t>
      </w:r>
      <w:r w:rsidRPr="00FE6271">
        <w:rPr>
          <w:rFonts w:ascii="Times New Roman" w:hAnsi="Times New Roman"/>
          <w:sz w:val="28"/>
          <w:szCs w:val="28"/>
          <w:lang w:val="tg-Cyrl-TJ"/>
        </w:rPr>
        <w:t>14-16</w:t>
      </w:r>
      <w:r w:rsidRPr="00FE6271">
        <w:rPr>
          <w:rFonts w:ascii="Times New Roman" w:hAnsi="Times New Roman"/>
          <w:sz w:val="28"/>
          <w:szCs w:val="28"/>
          <w:lang w:val="tg-Cyrl-TJ"/>
        </w:rPr>
        <w:t xml:space="preserve"> октябр Форуми байналмилалии сармоягузории Душанбе Инвест – 2025 баргузор карда шуд, ки дар доираи он зиёда аз 50 санадҳои ҳамкорӣ бо маблағи умумии 4,1 млрд. доллар ба имзо расонида шуданд</w:t>
      </w:r>
      <w:r w:rsidRPr="00FE6271">
        <w:rPr>
          <w:rFonts w:ascii="Times New Roman" w:hAnsi="Times New Roman"/>
          <w:sz w:val="28"/>
          <w:szCs w:val="28"/>
          <w:lang w:val="tg-Cyrl-TJ"/>
        </w:rPr>
        <w:t>.</w:t>
      </w:r>
    </w:p>
    <w:p w14:paraId="7B3CD05A" w14:textId="77777777" w:rsidR="0079093C" w:rsidRPr="00FE6271" w:rsidRDefault="0079093C" w:rsidP="00184FE8">
      <w:pPr>
        <w:spacing w:after="0" w:line="240" w:lineRule="auto"/>
        <w:ind w:firstLine="708"/>
        <w:jc w:val="both"/>
        <w:rPr>
          <w:rFonts w:ascii="Times New Roman" w:hAnsi="Times New Roman"/>
          <w:sz w:val="28"/>
          <w:szCs w:val="28"/>
          <w:lang w:val="tg-Cyrl-TJ"/>
        </w:rPr>
      </w:pPr>
    </w:p>
    <w:p w14:paraId="51B0EA37" w14:textId="2DA02B63" w:rsidR="00133ACE" w:rsidRDefault="00133ACE" w:rsidP="00184FE8">
      <w:pPr>
        <w:spacing w:after="0" w:line="240" w:lineRule="auto"/>
        <w:ind w:firstLine="851"/>
        <w:jc w:val="right"/>
        <w:rPr>
          <w:rFonts w:ascii="Times New Roman" w:hAnsi="Times New Roman"/>
          <w:b/>
          <w:color w:val="1F4E79" w:themeColor="accent1" w:themeShade="80"/>
          <w:sz w:val="28"/>
          <w:szCs w:val="28"/>
          <w:u w:val="single"/>
          <w:lang w:val="tg-Cyrl-TJ"/>
        </w:rPr>
      </w:pPr>
      <w:r w:rsidRPr="00FE6271">
        <w:rPr>
          <w:rFonts w:ascii="Times New Roman" w:hAnsi="Times New Roman"/>
          <w:b/>
          <w:color w:val="1F4E79" w:themeColor="accent1" w:themeShade="80"/>
          <w:sz w:val="28"/>
          <w:szCs w:val="28"/>
          <w:u w:val="single"/>
          <w:lang w:val="tg-Cyrl-TJ"/>
        </w:rPr>
        <w:t>ЛОИҲАҲОИ САРМОЯГУЗОРИИ ДАВЛАТӢ</w:t>
      </w:r>
    </w:p>
    <w:p w14:paraId="48C28DEA" w14:textId="77777777" w:rsidR="00B94659" w:rsidRPr="00FE6271" w:rsidRDefault="00B94659" w:rsidP="00184FE8">
      <w:pPr>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Ба ҳолати 1-уми январи соли 2026 маҷмӯи лоиҳаҳои сармоягузории давлатии амалкунанда дар Ҷумҳурии Тоҷикистон 82 адад (55 лоиҳаи грантӣ, 5 лоиҳаи қарзӣ ва 22 лоиҳа дар ҳаммаблағгузории қарз ва грант) буда, маблағи умумии онҳо 43,2 млрд. сомонӣ (4 680,7 млн. доллари ИМА)-ро ташкил медиҳад.</w:t>
      </w:r>
    </w:p>
    <w:p w14:paraId="6ACB286A" w14:textId="77777777" w:rsidR="00B94659" w:rsidRPr="00FE6271" w:rsidRDefault="00B94659" w:rsidP="00184FE8">
      <w:pPr>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Дар таркиби маҷмӯи лоиҳаҳои амалкунанда маблағҳои грантӣ 28,8 млрд. сомонӣ (3 120,6 млн. доллар) ё 66,7 фоиз, маблағҳои қарзӣ 12,9 млрд. сомонӣ (1 403,05 млн. доллар) ё 30,0 фоиз, саҳми Ҳукумати Ҷумҳурии Тоҷикистон 1,4 млрд. сомонӣ (151,2 млн. доллар) ё 3,2 фоиз ва дигар сарчашмаҳо, аз ҷумла саҳми корхонаҳои давлатии ҷумҳурӣ, мақомоти иҷроияи маҳаллии ҳокимияти давлатӣ, ҷамоатҳо (бенефитсиарҳо) ва ғайра 53,7 млн. сомонӣ (5,8 млн. доллар) ё 0,1 фоизро ташкил медиҳад.</w:t>
      </w:r>
    </w:p>
    <w:p w14:paraId="23ED8223" w14:textId="77777777" w:rsidR="00B94659" w:rsidRPr="00FE6271" w:rsidRDefault="00B94659" w:rsidP="00184FE8">
      <w:pPr>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Дар доираи лоиҳаҳои сармоягузории давлатии амалкунанда  азхудкунии маблағҳо барои хариди мол, иҷрои кор ва хизматрасонӣ аз санаи оғози татбиқ 28,16 млрд. сомонӣ (3,04 млрд. доллар) ё 65 фоиз ва тибқи нақшаи молиявии моҳҳои январ-декабри соли 2025 6,4 млрд. сомонӣ (697,2 млн. доллар) ё 101 фоизро ташкил медиҳад.</w:t>
      </w:r>
    </w:p>
    <w:p w14:paraId="15E6995F" w14:textId="318C221E" w:rsidR="00B94659" w:rsidRPr="00FE6271" w:rsidRDefault="00B94659" w:rsidP="00184FE8">
      <w:pPr>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Дар моҳҳои январ – декабри соли 2025 бо шарикони рушд 31 созишномаи қарзию грантӣ вобаста ба татбиқи 25 лоиҳаи сармоягузории давлатӣ ба маблағи умумии 619,02 млн. доллари ИМА ба имзо расонида шуд, ки татбиқи лоиҳаҳоро дар самти рақамикунонӣ, нақлиёт, обтаъминкунӣ, тандурустӣ, энергетика, рушди соҳибкорӣ, таъминоти гармӣ, экология, кишоварзӣ ва инноватсия дар бар мегирад.</w:t>
      </w:r>
    </w:p>
    <w:p w14:paraId="4E5675E9" w14:textId="77777777" w:rsidR="00764121" w:rsidRPr="00FE6271" w:rsidRDefault="00764121" w:rsidP="00184FE8">
      <w:pPr>
        <w:spacing w:after="0" w:line="240" w:lineRule="auto"/>
        <w:ind w:firstLine="709"/>
        <w:jc w:val="both"/>
        <w:rPr>
          <w:rFonts w:ascii="Times New Roman" w:hAnsi="Times New Roman"/>
          <w:sz w:val="28"/>
          <w:szCs w:val="28"/>
          <w:lang w:val="tg-Cyrl-TJ"/>
        </w:rPr>
      </w:pPr>
    </w:p>
    <w:p w14:paraId="1B42156A" w14:textId="380B42A1" w:rsidR="002A37C0" w:rsidRDefault="002A37C0" w:rsidP="00184FE8">
      <w:pPr>
        <w:spacing w:after="0" w:line="240" w:lineRule="auto"/>
        <w:ind w:left="1273" w:firstLine="851"/>
        <w:jc w:val="right"/>
        <w:rPr>
          <w:rFonts w:ascii="Times New Roman" w:hAnsi="Times New Roman"/>
          <w:b/>
          <w:color w:val="1F4E79" w:themeColor="accent1" w:themeShade="80"/>
          <w:sz w:val="28"/>
          <w:szCs w:val="28"/>
          <w:u w:val="single"/>
          <w:lang w:val="tg-Cyrl-TJ"/>
        </w:rPr>
      </w:pPr>
      <w:r w:rsidRPr="00FE6271">
        <w:rPr>
          <w:rFonts w:ascii="Times New Roman" w:hAnsi="Times New Roman"/>
          <w:b/>
          <w:color w:val="1F4E79" w:themeColor="accent1" w:themeShade="80"/>
          <w:sz w:val="28"/>
          <w:szCs w:val="28"/>
          <w:u w:val="single"/>
          <w:lang w:val="tg-Cyrl-TJ"/>
        </w:rPr>
        <w:t>СОҲИБКОРӢ</w:t>
      </w:r>
    </w:p>
    <w:p w14:paraId="485FD5DB" w14:textId="77777777" w:rsidR="0005440B" w:rsidRPr="00FE6271" w:rsidRDefault="0079093C" w:rsidP="00184FE8">
      <w:pPr>
        <w:shd w:val="clear" w:color="auto" w:fill="FFFFFF" w:themeFill="background1"/>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Тибқи маълумоти оморӣ ба ҳолати 1-</w:t>
      </w:r>
      <w:r w:rsidR="00B94659" w:rsidRPr="00FE6271">
        <w:rPr>
          <w:rFonts w:ascii="Times New Roman" w:hAnsi="Times New Roman"/>
          <w:sz w:val="28"/>
          <w:szCs w:val="28"/>
          <w:lang w:val="tg-Cyrl-TJ"/>
        </w:rPr>
        <w:t xml:space="preserve">уми январи </w:t>
      </w:r>
      <w:r w:rsidRPr="00FE6271">
        <w:rPr>
          <w:rFonts w:ascii="Times New Roman" w:hAnsi="Times New Roman"/>
          <w:sz w:val="28"/>
          <w:szCs w:val="28"/>
          <w:lang w:val="tg-Cyrl-TJ"/>
        </w:rPr>
        <w:t>соли 202</w:t>
      </w:r>
      <w:r w:rsidR="00B94659" w:rsidRPr="00FE6271">
        <w:rPr>
          <w:rFonts w:ascii="Times New Roman" w:hAnsi="Times New Roman"/>
          <w:sz w:val="28"/>
          <w:szCs w:val="28"/>
          <w:lang w:val="tg-Cyrl-TJ"/>
        </w:rPr>
        <w:t>6</w:t>
      </w:r>
      <w:r w:rsidRPr="00FE6271">
        <w:rPr>
          <w:rFonts w:ascii="Times New Roman" w:hAnsi="Times New Roman"/>
          <w:sz w:val="28"/>
          <w:szCs w:val="28"/>
          <w:lang w:val="tg-Cyrl-TJ"/>
        </w:rPr>
        <w:t xml:space="preserve"> </w:t>
      </w:r>
      <w:r w:rsidR="00B94659" w:rsidRPr="00FE6271">
        <w:rPr>
          <w:rFonts w:ascii="Times New Roman" w:hAnsi="Times New Roman"/>
          <w:sz w:val="28"/>
          <w:szCs w:val="28"/>
          <w:lang w:val="tg-Cyrl-TJ"/>
        </w:rPr>
        <w:t xml:space="preserve">дар соли 2025 дар ҷумҳурӣ 380 992 адад субъектҳои хоҷагидор фаъолият мекунад, ки ин нишондод дар муқоиса ба соли 2024-ум 15 722 адад ва ё 4,3 фоиз зиёд мебошад. </w:t>
      </w:r>
    </w:p>
    <w:p w14:paraId="6D33162E" w14:textId="46FF307E" w:rsidR="0079093C" w:rsidRPr="00FE6271" w:rsidRDefault="0079093C" w:rsidP="00184FE8">
      <w:pPr>
        <w:shd w:val="clear" w:color="auto" w:fill="FFFFFF" w:themeFill="background1"/>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Аз шумораи умумии субъектҳои хоҷагидор, соҳибкорони инфиродӣ 3</w:t>
      </w:r>
      <w:r w:rsidR="00E1131C" w:rsidRPr="00FE6271">
        <w:rPr>
          <w:rFonts w:ascii="Times New Roman" w:hAnsi="Times New Roman"/>
          <w:sz w:val="28"/>
          <w:szCs w:val="28"/>
          <w:lang w:val="tg-Cyrl-TJ"/>
        </w:rPr>
        <w:t>44</w:t>
      </w:r>
      <w:r w:rsidRPr="00FE6271">
        <w:rPr>
          <w:rFonts w:ascii="Times New Roman" w:hAnsi="Times New Roman"/>
          <w:sz w:val="28"/>
          <w:szCs w:val="28"/>
          <w:lang w:val="tg-Cyrl-TJ"/>
        </w:rPr>
        <w:t xml:space="preserve"> </w:t>
      </w:r>
      <w:r w:rsidR="00E1131C" w:rsidRPr="00FE6271">
        <w:rPr>
          <w:rFonts w:ascii="Times New Roman" w:hAnsi="Times New Roman"/>
          <w:sz w:val="28"/>
          <w:szCs w:val="28"/>
          <w:lang w:val="tg-Cyrl-TJ"/>
        </w:rPr>
        <w:t>872</w:t>
      </w:r>
      <w:r w:rsidRPr="00FE6271">
        <w:rPr>
          <w:rFonts w:ascii="Times New Roman" w:hAnsi="Times New Roman"/>
          <w:sz w:val="28"/>
          <w:szCs w:val="28"/>
          <w:lang w:val="tg-Cyrl-TJ"/>
        </w:rPr>
        <w:t xml:space="preserve"> адад дар миқёси ҷумҳурӣ ба қайд гирифта шудааст, ки ин нишондиҳанда дар муқоиса нисбат ба ҳамин давраи соли 2024-ум </w:t>
      </w:r>
      <w:r w:rsidR="00E1131C" w:rsidRPr="00FE6271">
        <w:rPr>
          <w:rFonts w:ascii="Times New Roman" w:hAnsi="Times New Roman"/>
          <w:sz w:val="28"/>
          <w:szCs w:val="28"/>
          <w:lang w:val="tg-Cyrl-TJ"/>
        </w:rPr>
        <w:t>14598</w:t>
      </w:r>
      <w:r w:rsidRPr="00FE6271">
        <w:rPr>
          <w:rFonts w:ascii="Times New Roman" w:hAnsi="Times New Roman"/>
          <w:sz w:val="28"/>
          <w:szCs w:val="28"/>
          <w:lang w:val="tg-Cyrl-TJ"/>
        </w:rPr>
        <w:t xml:space="preserve"> адад ва ё 4,</w:t>
      </w:r>
      <w:r w:rsidR="00FE6271" w:rsidRPr="00FE6271">
        <w:rPr>
          <w:rFonts w:ascii="Times New Roman" w:hAnsi="Times New Roman"/>
          <w:sz w:val="28"/>
          <w:szCs w:val="28"/>
          <w:lang w:val="tg-Cyrl-TJ"/>
        </w:rPr>
        <w:t>4</w:t>
      </w:r>
      <w:r w:rsidRPr="00FE6271">
        <w:rPr>
          <w:rFonts w:ascii="Times New Roman" w:hAnsi="Times New Roman"/>
          <w:sz w:val="28"/>
          <w:szCs w:val="28"/>
          <w:lang w:val="tg-Cyrl-TJ"/>
        </w:rPr>
        <w:t xml:space="preserve"> фоиз зиёд гардидааст.</w:t>
      </w:r>
    </w:p>
    <w:p w14:paraId="11830733" w14:textId="77777777" w:rsidR="0005440B" w:rsidRPr="00FE6271" w:rsidRDefault="0005440B" w:rsidP="00184FE8">
      <w:pPr>
        <w:spacing w:after="0" w:line="240" w:lineRule="auto"/>
        <w:ind w:firstLine="709"/>
        <w:jc w:val="both"/>
        <w:rPr>
          <w:rFonts w:ascii="Times New Roman" w:hAnsi="Times New Roman"/>
          <w:sz w:val="28"/>
          <w:szCs w:val="28"/>
          <w:lang w:val="tg-Cyrl-TJ"/>
        </w:rPr>
      </w:pPr>
      <w:r w:rsidRPr="00FE6271">
        <w:rPr>
          <w:rFonts w:ascii="Times New Roman" w:hAnsi="Times New Roman"/>
          <w:sz w:val="28"/>
          <w:szCs w:val="28"/>
          <w:lang w:val="tg-Cyrl-TJ"/>
        </w:rPr>
        <w:t>Инчунин, аз шумораи умумии субъектҳои хоҷагидор, шахсони ҳуқуқии дар соли 2025 дар ҳудуди ҷумҳурӣ фаъолияткунанда 36 120 ададро ташкил медиҳад, ки ин нишондиҳанда дар муқоиса ба соли 2024-ум 1124  адад ва ё 3,2 фоиз зиёд гардидааст.</w:t>
      </w:r>
    </w:p>
    <w:p w14:paraId="4124CB26" w14:textId="77777777" w:rsidR="00FE6271" w:rsidRPr="00FE6271" w:rsidRDefault="00FE6271" w:rsidP="00FE6271">
      <w:pPr>
        <w:spacing w:after="0" w:line="240" w:lineRule="auto"/>
        <w:ind w:firstLine="708"/>
        <w:contextualSpacing/>
        <w:jc w:val="both"/>
        <w:rPr>
          <w:rFonts w:ascii="Times New Roman" w:hAnsi="Times New Roman"/>
          <w:sz w:val="28"/>
          <w:szCs w:val="28"/>
          <w:lang w:val="tg-Cyrl-TJ"/>
        </w:rPr>
      </w:pPr>
      <w:r w:rsidRPr="00FE6271">
        <w:rPr>
          <w:rFonts w:ascii="Times New Roman" w:hAnsi="Times New Roman"/>
          <w:sz w:val="28"/>
          <w:szCs w:val="28"/>
          <w:lang w:val="tg-Cyrl-TJ"/>
        </w:rPr>
        <w:t xml:space="preserve">Тибқи маълумоти Бонки миллии Тоҷикистон дар соли 2025 аз ҷониби ташкилотҳои қарзии молиявӣ ба иқтисодиёт ба маблағи 29 985,6 млн. сомонӣ қарз пешниҳод карда шудааст, ки ин нишондиҳанда нисбат ба ҳамин давраи соли 2024-ум 5 427,8 млн. сомонӣ ё 22,1 фоиз зиёд мебошад. </w:t>
      </w:r>
    </w:p>
    <w:p w14:paraId="3B924E17" w14:textId="77777777" w:rsidR="00FE6271" w:rsidRPr="00FE6271" w:rsidRDefault="00FE6271" w:rsidP="00FE6271">
      <w:pPr>
        <w:spacing w:after="0" w:line="240" w:lineRule="auto"/>
        <w:ind w:firstLine="708"/>
        <w:contextualSpacing/>
        <w:jc w:val="both"/>
        <w:rPr>
          <w:rFonts w:ascii="Times New Roman" w:hAnsi="Times New Roman"/>
          <w:sz w:val="28"/>
          <w:szCs w:val="28"/>
          <w:lang w:val="tg-Cyrl-TJ"/>
        </w:rPr>
      </w:pPr>
      <w:r w:rsidRPr="00FE6271">
        <w:rPr>
          <w:rFonts w:ascii="Times New Roman" w:hAnsi="Times New Roman"/>
          <w:sz w:val="28"/>
          <w:szCs w:val="28"/>
          <w:lang w:val="tg-Cyrl-TJ"/>
        </w:rPr>
        <w:lastRenderedPageBreak/>
        <w:t>Аз ҳаҷми умумии қарзҳои аз ҷониби ташкилотҳои қарзӣ дар давраи ҳисоботӣ додашуда маблағи 14 362,1 млн. сомонии он ба самти фаъолияти соҳибкорӣ дода шудааст, ки нисбат ба ҳамин давраи соли 2024-ум 1 510,3 млн. сомонӣ ё 11,8 фоиз зиёд мебошад.</w:t>
      </w:r>
    </w:p>
    <w:p w14:paraId="76CAA7A9" w14:textId="77777777" w:rsidR="00FE6271" w:rsidRPr="00FE6271" w:rsidRDefault="00FE6271" w:rsidP="00FE6271">
      <w:pPr>
        <w:spacing w:after="0" w:line="240" w:lineRule="auto"/>
        <w:ind w:firstLine="708"/>
        <w:contextualSpacing/>
        <w:jc w:val="both"/>
        <w:rPr>
          <w:rFonts w:ascii="Times New Roman" w:hAnsi="Times New Roman"/>
          <w:sz w:val="28"/>
          <w:szCs w:val="28"/>
          <w:lang w:val="tg-Cyrl-TJ"/>
        </w:rPr>
      </w:pPr>
      <w:r w:rsidRPr="00FE6271">
        <w:rPr>
          <w:rFonts w:ascii="Times New Roman" w:hAnsi="Times New Roman"/>
          <w:sz w:val="28"/>
          <w:szCs w:val="28"/>
          <w:lang w:val="tg-Cyrl-TJ"/>
        </w:rPr>
        <w:t>Қарзҳои хурди додашуда дар давраи ҳисоботӣ 22 018,2 млн. сомониро ташкил медиҳад, ки нисбат ба ҳамин давраи соли гузашта 4 185,3 млн. сомонӣ ё 23,5 фоиз зиёд гардидааст.</w:t>
      </w:r>
    </w:p>
    <w:p w14:paraId="6ED5353F" w14:textId="77777777" w:rsidR="00FE6271" w:rsidRPr="00FE6271" w:rsidRDefault="00FE6271" w:rsidP="00FE6271">
      <w:pPr>
        <w:spacing w:after="0" w:line="240" w:lineRule="auto"/>
        <w:ind w:firstLine="708"/>
        <w:contextualSpacing/>
        <w:jc w:val="both"/>
        <w:rPr>
          <w:rFonts w:ascii="Times New Roman" w:hAnsi="Times New Roman"/>
          <w:sz w:val="28"/>
          <w:szCs w:val="28"/>
          <w:lang w:val="tg-Cyrl-TJ"/>
        </w:rPr>
      </w:pPr>
      <w:r w:rsidRPr="00FE6271">
        <w:rPr>
          <w:rFonts w:ascii="Times New Roman" w:hAnsi="Times New Roman"/>
          <w:sz w:val="28"/>
          <w:szCs w:val="28"/>
          <w:lang w:val="tg-Cyrl-TJ"/>
        </w:rPr>
        <w:t>Инчунин, қарзҳои додашуда ба занон дар давраи ҳисоботи 7 808,8 млн. сомониро ташкил медиҳад, ки нисбат ба ҳамин давраи соли 2024, 1 622,8  млн. сомонӣ ё 26,2 фоиз зиёд гардидааст.</w:t>
      </w:r>
    </w:p>
    <w:p w14:paraId="619A0FFC" w14:textId="240F023A" w:rsidR="0079093C" w:rsidRPr="00FE6271" w:rsidRDefault="0079093C" w:rsidP="00FE6271">
      <w:pPr>
        <w:spacing w:after="0" w:line="240" w:lineRule="auto"/>
        <w:ind w:firstLine="708"/>
        <w:contextualSpacing/>
        <w:jc w:val="both"/>
        <w:rPr>
          <w:rFonts w:ascii="Times New Roman" w:eastAsiaTheme="minorEastAsia" w:hAnsi="Times New Roman"/>
          <w:bCs/>
          <w:sz w:val="28"/>
          <w:szCs w:val="28"/>
          <w:lang w:val="tg-Cyrl-TJ" w:eastAsia="ru-RU"/>
        </w:rPr>
      </w:pPr>
      <w:r w:rsidRPr="00FE6271">
        <w:rPr>
          <w:rFonts w:ascii="Times New Roman" w:eastAsiaTheme="minorHAnsi" w:hAnsi="Times New Roman"/>
          <w:sz w:val="28"/>
          <w:szCs w:val="28"/>
          <w:lang w:val="tg-Cyrl-TJ"/>
        </w:rPr>
        <w:t xml:space="preserve">Дар соли 2025 бо мақсади баланд бардоштани маърифати соҳибкорӣ аз ҷониби Кумита беш </w:t>
      </w:r>
      <w:r w:rsidR="0005440B" w:rsidRPr="00FE6271">
        <w:rPr>
          <w:rFonts w:ascii="Times New Roman" w:eastAsiaTheme="minorHAnsi" w:hAnsi="Times New Roman"/>
          <w:sz w:val="28"/>
          <w:szCs w:val="28"/>
          <w:lang w:val="tg-Cyrl-TJ"/>
        </w:rPr>
        <w:t>9</w:t>
      </w:r>
      <w:r w:rsidRPr="00FE6271">
        <w:rPr>
          <w:rFonts w:ascii="Times New Roman" w:eastAsiaTheme="minorHAnsi" w:hAnsi="Times New Roman"/>
          <w:sz w:val="28"/>
          <w:szCs w:val="28"/>
          <w:lang w:val="tg-Cyrl-TJ"/>
        </w:rPr>
        <w:t xml:space="preserve">00 </w:t>
      </w:r>
      <w:r w:rsidRPr="00FE6271">
        <w:rPr>
          <w:rFonts w:ascii="Times New Roman" w:eastAsia="Times New Roman" w:hAnsi="Times New Roman"/>
          <w:sz w:val="28"/>
          <w:szCs w:val="28"/>
          <w:lang w:val="tg-Cyrl-TJ" w:eastAsia="ru-RU"/>
        </w:rPr>
        <w:t xml:space="preserve">тренингҳои гуногуни омӯзишӣ доир ба </w:t>
      </w:r>
      <w:r w:rsidRPr="00FE6271">
        <w:rPr>
          <w:rFonts w:ascii="Times New Roman" w:eastAsiaTheme="minorEastAsia" w:hAnsi="Times New Roman"/>
          <w:bCs/>
          <w:sz w:val="28"/>
          <w:szCs w:val="28"/>
          <w:lang w:val="tg-Cyrl-TJ" w:eastAsia="ru-RU"/>
        </w:rPr>
        <w:t>имтиёзҳои андозию гумрукӣ, бақайдгирии фаъолияти соҳибкорӣ, пайдо намудани идея ва татбиқи амалии он, омода намудани рунамо ва муаррифии он дар назди сармоягузорон, тарзи нақшаи тиҷоратӣ,  дарёфти сармоя, муаррифии лоиҳа дар назди сармоягузорон ва дигар мавзуҳои мубрами фаъолияти соҳибкорӣ гузаронида шуданд.</w:t>
      </w:r>
    </w:p>
    <w:p w14:paraId="69BF8AE3" w14:textId="77777777" w:rsidR="001D7658" w:rsidRPr="00FE6271" w:rsidRDefault="001D7658" w:rsidP="00184FE8">
      <w:pPr>
        <w:spacing w:after="0" w:line="240" w:lineRule="auto"/>
        <w:ind w:firstLine="851"/>
        <w:jc w:val="both"/>
        <w:rPr>
          <w:rFonts w:ascii="Times New Roman" w:hAnsi="Times New Roman"/>
          <w:sz w:val="28"/>
          <w:szCs w:val="28"/>
          <w:lang w:val="tg-Cyrl-TJ"/>
        </w:rPr>
      </w:pPr>
    </w:p>
    <w:p w14:paraId="19BE91FD" w14:textId="01DC1BB6" w:rsidR="002A37C0" w:rsidRDefault="002A37C0" w:rsidP="00184FE8">
      <w:pPr>
        <w:spacing w:after="0" w:line="240" w:lineRule="auto"/>
        <w:ind w:firstLine="851"/>
        <w:jc w:val="right"/>
        <w:rPr>
          <w:rFonts w:ascii="Times New Roman" w:hAnsi="Times New Roman"/>
          <w:b/>
          <w:color w:val="1F4E79" w:themeColor="accent1" w:themeShade="80"/>
          <w:sz w:val="28"/>
          <w:szCs w:val="28"/>
          <w:u w:val="single"/>
          <w:lang w:val="tg-Cyrl-TJ"/>
        </w:rPr>
      </w:pPr>
      <w:r w:rsidRPr="00FE6271">
        <w:rPr>
          <w:rFonts w:ascii="Times New Roman" w:hAnsi="Times New Roman"/>
          <w:b/>
          <w:color w:val="1F4E79" w:themeColor="accent1" w:themeShade="80"/>
          <w:sz w:val="28"/>
          <w:szCs w:val="28"/>
          <w:u w:val="single"/>
          <w:lang w:val="tg-Cyrl-TJ"/>
        </w:rPr>
        <w:t>МОЛИКИЯТИ ДАВЛАТӢ</w:t>
      </w:r>
    </w:p>
    <w:p w14:paraId="1902731D" w14:textId="1BC5BE1A" w:rsidR="0005440B" w:rsidRPr="00FE6271" w:rsidRDefault="002A37C0" w:rsidP="00184FE8">
      <w:pPr>
        <w:spacing w:after="0" w:line="240" w:lineRule="auto"/>
        <w:ind w:firstLine="567"/>
        <w:jc w:val="both"/>
        <w:rPr>
          <w:rFonts w:ascii="Times New Roman" w:hAnsi="Times New Roman"/>
          <w:sz w:val="28"/>
          <w:szCs w:val="28"/>
          <w:lang w:val="az-Cyrl-AZ"/>
        </w:rPr>
      </w:pPr>
      <w:r w:rsidRPr="00FE6271">
        <w:rPr>
          <w:rFonts w:ascii="Times New Roman" w:hAnsi="Times New Roman"/>
          <w:sz w:val="28"/>
          <w:szCs w:val="28"/>
          <w:lang w:val="tg-Cyrl-TJ"/>
        </w:rPr>
        <w:t xml:space="preserve">Дар давраи ҳисоботӣ </w:t>
      </w:r>
      <w:r w:rsidR="0005440B" w:rsidRPr="00FE6271">
        <w:rPr>
          <w:rFonts w:ascii="Times New Roman" w:hAnsi="Times New Roman"/>
          <w:sz w:val="28"/>
          <w:szCs w:val="28"/>
          <w:lang w:val="az-Cyrl-AZ"/>
        </w:rPr>
        <w:t>аз ҳисоби хусусигардонӣ ва иҷораи моликияти ҷумҳуриявӣ ба буҷети давлатӣ 7</w:t>
      </w:r>
      <w:r w:rsidR="00E1131C" w:rsidRPr="00FE6271">
        <w:rPr>
          <w:rFonts w:ascii="Times New Roman" w:hAnsi="Times New Roman"/>
          <w:sz w:val="28"/>
          <w:szCs w:val="28"/>
          <w:lang w:val="az-Cyrl-AZ"/>
        </w:rPr>
        <w:t>3</w:t>
      </w:r>
      <w:r w:rsidR="0005440B" w:rsidRPr="00FE6271">
        <w:rPr>
          <w:rFonts w:ascii="Times New Roman" w:hAnsi="Times New Roman"/>
          <w:sz w:val="28"/>
          <w:szCs w:val="28"/>
          <w:lang w:val="az-Cyrl-AZ"/>
        </w:rPr>
        <w:t xml:space="preserve"> млн. сомонӣ ворид гардида, иҷрои нақша 14</w:t>
      </w:r>
      <w:r w:rsidR="00E1131C" w:rsidRPr="00FE6271">
        <w:rPr>
          <w:rFonts w:ascii="Times New Roman" w:hAnsi="Times New Roman"/>
          <w:sz w:val="28"/>
          <w:szCs w:val="28"/>
          <w:lang w:val="az-Cyrl-AZ"/>
        </w:rPr>
        <w:t>6</w:t>
      </w:r>
      <w:r w:rsidR="0005440B" w:rsidRPr="00FE6271">
        <w:rPr>
          <w:rFonts w:ascii="Times New Roman" w:hAnsi="Times New Roman"/>
          <w:sz w:val="28"/>
          <w:szCs w:val="28"/>
          <w:lang w:val="az-Cyrl-AZ"/>
        </w:rPr>
        <w:t xml:space="preserve"> фоиз таъмин гардидааст.</w:t>
      </w:r>
    </w:p>
    <w:p w14:paraId="6BA3667C" w14:textId="1B9489DB" w:rsidR="0005440B" w:rsidRPr="00FE6271" w:rsidRDefault="0005440B" w:rsidP="00184FE8">
      <w:pPr>
        <w:spacing w:after="0" w:line="240" w:lineRule="auto"/>
        <w:ind w:firstLine="567"/>
        <w:jc w:val="both"/>
        <w:rPr>
          <w:rFonts w:ascii="Times New Roman" w:hAnsi="Times New Roman"/>
          <w:sz w:val="28"/>
          <w:szCs w:val="28"/>
          <w:lang w:val="az-Cyrl-AZ"/>
        </w:rPr>
      </w:pPr>
      <w:r w:rsidRPr="00FE6271">
        <w:rPr>
          <w:rFonts w:ascii="Times New Roman" w:hAnsi="Times New Roman"/>
          <w:sz w:val="28"/>
          <w:szCs w:val="28"/>
          <w:lang w:val="az-Cyrl-AZ"/>
        </w:rPr>
        <w:t>Ба ҳолати 31-уми декабри соли 2025 шумораи умумии ҷамъиятҳои саҳомие, ки саҳми давлат дар сармояи оинномавии онҳо мавҷуд мебошад 120 ададро ташкил медиҳад, ки аз ин шумора саҳмияҳои 99 адад ҷамъиятҳои саҳомӣ 100 фоиз давлатӣ ва 21 адад ҷамъиятҳои саҳомӣ ҳиссавӣ мебошанд. Инчунин, дар 4 адад ҷамъиятҳои дорои масъулияти маҳдуд саҳми давлат дар сармояи оинномавии онҳо мавҷуд мебошад.</w:t>
      </w:r>
    </w:p>
    <w:p w14:paraId="739655A4" w14:textId="4C27E261" w:rsidR="002A539D" w:rsidRPr="00FE6271" w:rsidRDefault="00457E6A" w:rsidP="00184FE8">
      <w:pPr>
        <w:spacing w:after="0" w:line="240" w:lineRule="auto"/>
        <w:ind w:firstLine="851"/>
        <w:jc w:val="both"/>
        <w:rPr>
          <w:rFonts w:ascii="Times New Roman" w:hAnsi="Times New Roman"/>
          <w:sz w:val="28"/>
          <w:szCs w:val="28"/>
          <w:lang w:val="tg-Cyrl-TJ"/>
        </w:rPr>
      </w:pPr>
      <w:r w:rsidRPr="00FE6271">
        <w:rPr>
          <w:rFonts w:ascii="Times New Roman" w:hAnsi="Times New Roman"/>
          <w:sz w:val="28"/>
          <w:szCs w:val="28"/>
          <w:lang w:val="tg-Cyrl-TJ"/>
        </w:rPr>
        <w:t>Бо мақсади иттилоотонии шаҳрвандон ва доираҳои соҳибкорию сармоягузорон с</w:t>
      </w:r>
      <w:r w:rsidR="002A539D" w:rsidRPr="00FE6271">
        <w:rPr>
          <w:rFonts w:ascii="Times New Roman" w:hAnsi="Times New Roman"/>
          <w:sz w:val="28"/>
          <w:szCs w:val="28"/>
          <w:lang w:val="tg-Cyrl-TJ"/>
        </w:rPr>
        <w:t>омона</w:t>
      </w:r>
      <w:r w:rsidR="0012721F" w:rsidRPr="00FE6271">
        <w:rPr>
          <w:rFonts w:ascii="Times New Roman" w:hAnsi="Times New Roman"/>
          <w:sz w:val="28"/>
          <w:szCs w:val="28"/>
          <w:lang w:val="tg-Cyrl-TJ"/>
        </w:rPr>
        <w:t>ҳо</w:t>
      </w:r>
      <w:r w:rsidR="002A539D" w:rsidRPr="00FE6271">
        <w:rPr>
          <w:rFonts w:ascii="Times New Roman" w:hAnsi="Times New Roman"/>
          <w:sz w:val="28"/>
          <w:szCs w:val="28"/>
          <w:lang w:val="tg-Cyrl-TJ"/>
        </w:rPr>
        <w:t xml:space="preserve">и </w:t>
      </w:r>
      <w:r w:rsidR="0012721F" w:rsidRPr="00FE6271">
        <w:rPr>
          <w:rFonts w:ascii="Times New Roman" w:hAnsi="Times New Roman"/>
          <w:sz w:val="28"/>
          <w:szCs w:val="28"/>
          <w:lang w:val="tg-Cyrl-TJ"/>
        </w:rPr>
        <w:t xml:space="preserve">расмии </w:t>
      </w:r>
      <w:r w:rsidR="002A539D" w:rsidRPr="00FE6271">
        <w:rPr>
          <w:rFonts w:ascii="Times New Roman" w:hAnsi="Times New Roman"/>
          <w:sz w:val="28"/>
          <w:szCs w:val="28"/>
          <w:lang w:val="tg-Cyrl-TJ"/>
        </w:rPr>
        <w:t>Кумитаи давлатии сармоягузорӣ ва идораи амв</w:t>
      </w:r>
      <w:r w:rsidRPr="00FE6271">
        <w:rPr>
          <w:rFonts w:ascii="Times New Roman" w:hAnsi="Times New Roman"/>
          <w:sz w:val="28"/>
          <w:szCs w:val="28"/>
          <w:lang w:val="tg-Cyrl-TJ"/>
        </w:rPr>
        <w:t>оли давлатӣ</w:t>
      </w:r>
      <w:r w:rsidR="002A539D" w:rsidRPr="00FE6271">
        <w:rPr>
          <w:rFonts w:ascii="Times New Roman" w:hAnsi="Times New Roman"/>
          <w:sz w:val="28"/>
          <w:szCs w:val="28"/>
          <w:lang w:val="tg-Cyrl-TJ"/>
        </w:rPr>
        <w:t xml:space="preserve"> бо суроғаи </w:t>
      </w:r>
      <w:hyperlink r:id="rId8" w:history="1">
        <w:r w:rsidR="0012721F" w:rsidRPr="00FE6271">
          <w:rPr>
            <w:rStyle w:val="af1"/>
            <w:rFonts w:ascii="Times New Roman" w:hAnsi="Times New Roman"/>
            <w:sz w:val="28"/>
            <w:szCs w:val="28"/>
            <w:lang w:val="tg-Cyrl-TJ"/>
          </w:rPr>
          <w:t>www.investcom.tj</w:t>
        </w:r>
      </w:hyperlink>
      <w:r w:rsidR="0012721F" w:rsidRPr="00FE6271">
        <w:rPr>
          <w:rFonts w:ascii="Times New Roman" w:hAnsi="Times New Roman"/>
          <w:color w:val="0070C0"/>
          <w:sz w:val="28"/>
          <w:szCs w:val="28"/>
          <w:lang w:val="tg-Cyrl-TJ"/>
        </w:rPr>
        <w:t xml:space="preserve"> </w:t>
      </w:r>
      <w:r w:rsidR="0012721F" w:rsidRPr="00FE6271">
        <w:rPr>
          <w:rFonts w:ascii="Times New Roman" w:hAnsi="Times New Roman"/>
          <w:sz w:val="28"/>
          <w:szCs w:val="28"/>
          <w:lang w:val="tg-Cyrl-TJ"/>
        </w:rPr>
        <w:t xml:space="preserve">ва ташкилотҳои зерсохтори он КВД “Тоҷинвест” </w:t>
      </w:r>
      <w:hyperlink r:id="rId9" w:history="1">
        <w:r w:rsidR="0012721F" w:rsidRPr="00FE6271">
          <w:rPr>
            <w:rStyle w:val="af1"/>
            <w:rFonts w:ascii="Times New Roman" w:hAnsi="Times New Roman"/>
            <w:sz w:val="28"/>
            <w:szCs w:val="28"/>
            <w:lang w:val="tg-Cyrl-TJ"/>
          </w:rPr>
          <w:t>www.tajinvest.tj</w:t>
        </w:r>
      </w:hyperlink>
      <w:r w:rsidR="0012721F" w:rsidRPr="00FE6271">
        <w:rPr>
          <w:rStyle w:val="af1"/>
          <w:rFonts w:ascii="Times New Roman" w:hAnsi="Times New Roman"/>
          <w:color w:val="0070C0"/>
          <w:sz w:val="28"/>
          <w:szCs w:val="28"/>
          <w:lang w:val="tg-Cyrl-TJ"/>
        </w:rPr>
        <w:t xml:space="preserve">, </w:t>
      </w:r>
      <w:r w:rsidR="0012721F" w:rsidRPr="00FE6271">
        <w:rPr>
          <w:rFonts w:ascii="Times New Roman" w:hAnsi="Times New Roman"/>
          <w:sz w:val="28"/>
          <w:szCs w:val="28"/>
          <w:lang w:val="tg-Cyrl-TJ"/>
        </w:rPr>
        <w:t xml:space="preserve"> КВД оид ба ташкили фурӯши амволи давлатӣ </w:t>
      </w:r>
      <w:hyperlink r:id="rId10" w:history="1">
        <w:r w:rsidR="0012721F" w:rsidRPr="00FE6271">
          <w:rPr>
            <w:rStyle w:val="af1"/>
            <w:rFonts w:ascii="Times New Roman" w:hAnsi="Times New Roman"/>
            <w:color w:val="0070C0"/>
            <w:sz w:val="28"/>
            <w:szCs w:val="28"/>
            <w:lang w:val="tg-Cyrl-TJ"/>
          </w:rPr>
          <w:t>www.muzoyada-kvd.tj</w:t>
        </w:r>
      </w:hyperlink>
      <w:r w:rsidR="0012721F" w:rsidRPr="00FE6271">
        <w:rPr>
          <w:rStyle w:val="af1"/>
          <w:rFonts w:ascii="Times New Roman" w:hAnsi="Times New Roman"/>
          <w:color w:val="0070C0"/>
          <w:sz w:val="28"/>
          <w:szCs w:val="28"/>
          <w:lang w:val="tg-Cyrl-TJ"/>
        </w:rPr>
        <w:t xml:space="preserve"> </w:t>
      </w:r>
      <w:r w:rsidR="002A539D" w:rsidRPr="00FE6271">
        <w:rPr>
          <w:rFonts w:ascii="Times New Roman" w:hAnsi="Times New Roman"/>
          <w:color w:val="0070C0"/>
          <w:sz w:val="28"/>
          <w:szCs w:val="28"/>
          <w:lang w:val="tg-Cyrl-TJ"/>
        </w:rPr>
        <w:t xml:space="preserve"> </w:t>
      </w:r>
      <w:r w:rsidR="002A539D" w:rsidRPr="00FE6271">
        <w:rPr>
          <w:rFonts w:ascii="Times New Roman" w:hAnsi="Times New Roman"/>
          <w:sz w:val="28"/>
          <w:szCs w:val="28"/>
          <w:lang w:val="tg-Cyrl-TJ"/>
        </w:rPr>
        <w:t>фаъол буда, маълумот оид ба соҳаҳои афзалиятноки сармоягузории Тоҷикистон, лоиҳаҳои сармоягузории давлатӣ, қонунгузорӣ дар самти соҳибкорию сармоягузорӣ ва идораи амволи давлатӣ, им</w:t>
      </w:r>
      <w:r w:rsidR="0012721F" w:rsidRPr="00FE6271">
        <w:rPr>
          <w:rFonts w:ascii="Times New Roman" w:hAnsi="Times New Roman"/>
          <w:sz w:val="28"/>
          <w:szCs w:val="28"/>
          <w:lang w:val="tg-Cyrl-TJ"/>
        </w:rPr>
        <w:t>тиёзу сабукиҳои сармоягузорӣ</w:t>
      </w:r>
      <w:r w:rsidR="002A539D" w:rsidRPr="00FE6271">
        <w:rPr>
          <w:rFonts w:ascii="Times New Roman" w:hAnsi="Times New Roman"/>
          <w:sz w:val="28"/>
          <w:szCs w:val="28"/>
          <w:lang w:val="tg-Cyrl-TJ"/>
        </w:rPr>
        <w:t xml:space="preserve">, </w:t>
      </w:r>
      <w:r w:rsidR="0012721F" w:rsidRPr="00FE6271">
        <w:rPr>
          <w:rFonts w:ascii="Times New Roman" w:hAnsi="Times New Roman"/>
          <w:sz w:val="28"/>
          <w:szCs w:val="28"/>
          <w:lang w:val="tg-Cyrl-TJ"/>
        </w:rPr>
        <w:t xml:space="preserve">ҳамкории давлат ва бахши хусусӣ, музоядаю озмунҳои фурӯш ва иҷораи амволи давлатӣ, </w:t>
      </w:r>
      <w:r w:rsidR="002A539D" w:rsidRPr="00FE6271">
        <w:rPr>
          <w:rFonts w:ascii="Times New Roman" w:hAnsi="Times New Roman"/>
          <w:sz w:val="28"/>
          <w:szCs w:val="28"/>
          <w:lang w:val="tg-Cyrl-TJ"/>
        </w:rPr>
        <w:t>инчунин хабару рӯйдо</w:t>
      </w:r>
      <w:r w:rsidR="00FB47E8" w:rsidRPr="00FE6271">
        <w:rPr>
          <w:rFonts w:ascii="Times New Roman" w:hAnsi="Times New Roman"/>
          <w:sz w:val="28"/>
          <w:szCs w:val="28"/>
          <w:lang w:val="tg-Cyrl-TJ"/>
        </w:rPr>
        <w:t>дҳо ва эълону дигар маълумотҳо</w:t>
      </w:r>
      <w:r w:rsidR="002A539D" w:rsidRPr="00FE6271">
        <w:rPr>
          <w:rFonts w:ascii="Times New Roman" w:hAnsi="Times New Roman"/>
          <w:sz w:val="28"/>
          <w:szCs w:val="28"/>
          <w:lang w:val="tg-Cyrl-TJ"/>
        </w:rPr>
        <w:t xml:space="preserve"> бо забонҳои тоҷикӣ, англисӣ</w:t>
      </w:r>
      <w:r w:rsidR="001D7658" w:rsidRPr="00FE6271">
        <w:rPr>
          <w:rFonts w:ascii="Times New Roman" w:hAnsi="Times New Roman"/>
          <w:sz w:val="28"/>
          <w:szCs w:val="28"/>
          <w:lang w:val="tg-Cyrl-TJ"/>
        </w:rPr>
        <w:t xml:space="preserve"> ва </w:t>
      </w:r>
      <w:r w:rsidR="002A539D" w:rsidRPr="00FE6271">
        <w:rPr>
          <w:rFonts w:ascii="Times New Roman" w:hAnsi="Times New Roman"/>
          <w:sz w:val="28"/>
          <w:szCs w:val="28"/>
          <w:lang w:val="tg-Cyrl-TJ"/>
        </w:rPr>
        <w:t xml:space="preserve"> русӣ</w:t>
      </w:r>
      <w:r w:rsidR="0012721F" w:rsidRPr="00FE6271">
        <w:rPr>
          <w:rFonts w:ascii="Times New Roman" w:hAnsi="Times New Roman"/>
          <w:sz w:val="28"/>
          <w:szCs w:val="28"/>
          <w:lang w:val="tg-Cyrl-TJ"/>
        </w:rPr>
        <w:t xml:space="preserve"> дар он</w:t>
      </w:r>
      <w:r w:rsidR="002A539D" w:rsidRPr="00FE6271">
        <w:rPr>
          <w:rFonts w:ascii="Times New Roman" w:hAnsi="Times New Roman"/>
          <w:sz w:val="28"/>
          <w:szCs w:val="28"/>
          <w:lang w:val="tg-Cyrl-TJ"/>
        </w:rPr>
        <w:t xml:space="preserve"> дастрас </w:t>
      </w:r>
      <w:r w:rsidR="0012721F" w:rsidRPr="00FE6271">
        <w:rPr>
          <w:rFonts w:ascii="Times New Roman" w:hAnsi="Times New Roman"/>
          <w:sz w:val="28"/>
          <w:szCs w:val="28"/>
          <w:lang w:val="tg-Cyrl-TJ"/>
        </w:rPr>
        <w:t>мебошад</w:t>
      </w:r>
      <w:r w:rsidR="002A539D" w:rsidRPr="00FE6271">
        <w:rPr>
          <w:rFonts w:ascii="Times New Roman" w:hAnsi="Times New Roman"/>
          <w:sz w:val="28"/>
          <w:szCs w:val="28"/>
          <w:lang w:val="tg-Cyrl-TJ"/>
        </w:rPr>
        <w:t>.</w:t>
      </w:r>
    </w:p>
    <w:p w14:paraId="64CA25C0" w14:textId="5D02761E" w:rsidR="001E36AC" w:rsidRPr="00FE6271" w:rsidRDefault="001E36AC" w:rsidP="00184FE8">
      <w:pPr>
        <w:spacing w:after="0" w:line="240" w:lineRule="auto"/>
        <w:ind w:firstLine="851"/>
        <w:jc w:val="both"/>
        <w:rPr>
          <w:rFonts w:ascii="Times New Roman" w:hAnsi="Times New Roman"/>
          <w:sz w:val="28"/>
          <w:szCs w:val="28"/>
          <w:lang w:val="tg-Cyrl-TJ"/>
        </w:rPr>
      </w:pPr>
      <w:r w:rsidRPr="00FE6271">
        <w:rPr>
          <w:rFonts w:ascii="Times New Roman" w:hAnsi="Times New Roman"/>
          <w:sz w:val="28"/>
          <w:szCs w:val="28"/>
          <w:lang w:val="tg-Cyrl-TJ"/>
        </w:rPr>
        <w:t xml:space="preserve">Инчунин, саҳифаҳои Кумитаи давлатии сармоягузорӣ ва идораи амволи давлатӣ дар шабакаҳои иҷтимоӣ фаъол </w:t>
      </w:r>
      <w:r w:rsidR="001D7658" w:rsidRPr="00FE6271">
        <w:rPr>
          <w:rFonts w:ascii="Times New Roman" w:hAnsi="Times New Roman"/>
          <w:sz w:val="28"/>
          <w:szCs w:val="28"/>
          <w:lang w:val="tg-Cyrl-TJ"/>
        </w:rPr>
        <w:t>буда, аз рафти фаъолият мунтазам хабару маълумотҳо паҳн мегардад.</w:t>
      </w:r>
    </w:p>
    <w:p w14:paraId="1E232D0A" w14:textId="32A18AD0" w:rsidR="001E36AC" w:rsidRPr="00FE6271" w:rsidRDefault="001E36AC" w:rsidP="00184FE8">
      <w:pPr>
        <w:spacing w:after="0" w:line="240" w:lineRule="auto"/>
        <w:ind w:firstLine="851"/>
        <w:jc w:val="both"/>
        <w:rPr>
          <w:rFonts w:ascii="Times New Roman" w:hAnsi="Times New Roman"/>
          <w:sz w:val="28"/>
          <w:szCs w:val="28"/>
          <w:lang w:val="tg-Cyrl-TJ"/>
        </w:rPr>
      </w:pPr>
      <w:bookmarkStart w:id="0" w:name="_Hlk78177308"/>
      <w:r w:rsidRPr="00FE6271">
        <w:rPr>
          <w:rFonts w:ascii="Times New Roman" w:hAnsi="Times New Roman"/>
          <w:sz w:val="28"/>
          <w:szCs w:val="28"/>
          <w:lang w:val="tg-Cyrl-TJ"/>
        </w:rPr>
        <w:t>Кумитаи давлатии сармоягузорӣ ва идораи амволи давлатӣ кушиш ба харҷ медиҳад, ки дар соли 202</w:t>
      </w:r>
      <w:r w:rsidR="0005440B" w:rsidRPr="00FE6271">
        <w:rPr>
          <w:rFonts w:ascii="Times New Roman" w:hAnsi="Times New Roman"/>
          <w:sz w:val="28"/>
          <w:szCs w:val="28"/>
          <w:lang w:val="tg-Cyrl-TJ"/>
        </w:rPr>
        <w:t>6</w:t>
      </w:r>
      <w:r w:rsidRPr="00FE6271">
        <w:rPr>
          <w:rFonts w:ascii="Times New Roman" w:hAnsi="Times New Roman"/>
          <w:sz w:val="28"/>
          <w:szCs w:val="28"/>
          <w:lang w:val="tg-Cyrl-TJ"/>
        </w:rPr>
        <w:t xml:space="preserve"> натиҷаҳои беҳтару арзандатарро ноил гардад. </w:t>
      </w:r>
    </w:p>
    <w:p w14:paraId="48519E87" w14:textId="543F4A6C" w:rsidR="001E36AC" w:rsidRPr="00FE6271" w:rsidRDefault="001E36AC" w:rsidP="00184FE8">
      <w:pPr>
        <w:spacing w:after="0" w:line="240" w:lineRule="auto"/>
        <w:ind w:firstLine="851"/>
        <w:jc w:val="both"/>
        <w:rPr>
          <w:rFonts w:ascii="Times New Roman" w:hAnsi="Times New Roman"/>
          <w:sz w:val="28"/>
          <w:szCs w:val="28"/>
          <w:lang w:val="tg-Cyrl-TJ"/>
        </w:rPr>
      </w:pPr>
    </w:p>
    <w:p w14:paraId="1B16F0FF" w14:textId="50A38DC7" w:rsidR="001E36AC" w:rsidRPr="00FE6271" w:rsidRDefault="001E36AC" w:rsidP="00184FE8">
      <w:pPr>
        <w:spacing w:after="0" w:line="240" w:lineRule="auto"/>
        <w:jc w:val="right"/>
        <w:rPr>
          <w:rFonts w:ascii="Times New Roman" w:hAnsi="Times New Roman"/>
          <w:sz w:val="28"/>
          <w:szCs w:val="28"/>
          <w:lang w:val="tg-Cyrl-TJ"/>
        </w:rPr>
      </w:pPr>
      <w:r w:rsidRPr="00FE6271">
        <w:rPr>
          <w:rFonts w:ascii="Times New Roman" w:hAnsi="Times New Roman"/>
          <w:sz w:val="28"/>
          <w:szCs w:val="28"/>
          <w:lang w:val="tg-Cyrl-TJ"/>
        </w:rPr>
        <w:t>Кумитаи давлатии сармоягузорӣ</w:t>
      </w:r>
      <w:r w:rsidR="00184FE8" w:rsidRPr="00FE6271">
        <w:rPr>
          <w:rFonts w:ascii="Times New Roman" w:hAnsi="Times New Roman"/>
          <w:sz w:val="28"/>
          <w:szCs w:val="28"/>
          <w:lang w:val="tg-Cyrl-TJ"/>
        </w:rPr>
        <w:t xml:space="preserve"> </w:t>
      </w:r>
      <w:r w:rsidR="00184FE8" w:rsidRPr="00FE6271">
        <w:rPr>
          <w:rFonts w:ascii="Times New Roman" w:hAnsi="Times New Roman"/>
          <w:sz w:val="28"/>
          <w:szCs w:val="28"/>
          <w:lang w:val="tg-Cyrl-TJ"/>
        </w:rPr>
        <w:t>ва идораи</w:t>
      </w:r>
    </w:p>
    <w:p w14:paraId="5C37F085" w14:textId="7AA1BD20" w:rsidR="00184FE8" w:rsidRPr="00FE6271" w:rsidRDefault="001E36AC" w:rsidP="00184FE8">
      <w:pPr>
        <w:spacing w:after="0" w:line="240" w:lineRule="auto"/>
        <w:jc w:val="right"/>
        <w:rPr>
          <w:rFonts w:ascii="Times New Roman" w:hAnsi="Times New Roman"/>
          <w:sz w:val="28"/>
          <w:szCs w:val="28"/>
          <w:lang w:val="tg-Cyrl-TJ"/>
        </w:rPr>
      </w:pPr>
      <w:r w:rsidRPr="00FE6271">
        <w:rPr>
          <w:rFonts w:ascii="Times New Roman" w:hAnsi="Times New Roman"/>
          <w:sz w:val="28"/>
          <w:szCs w:val="28"/>
          <w:lang w:val="tg-Cyrl-TJ"/>
        </w:rPr>
        <w:t>амволи давлатии</w:t>
      </w:r>
      <w:r w:rsidR="00184FE8" w:rsidRPr="00FE6271">
        <w:rPr>
          <w:rFonts w:ascii="Times New Roman" w:hAnsi="Times New Roman"/>
          <w:sz w:val="28"/>
          <w:szCs w:val="28"/>
          <w:lang w:val="tg-Cyrl-TJ"/>
        </w:rPr>
        <w:t xml:space="preserve"> </w:t>
      </w:r>
      <w:r w:rsidRPr="00FE6271">
        <w:rPr>
          <w:rFonts w:ascii="Times New Roman" w:hAnsi="Times New Roman"/>
          <w:sz w:val="28"/>
          <w:szCs w:val="28"/>
          <w:lang w:val="tg-Cyrl-TJ"/>
        </w:rPr>
        <w:t>Ҷумҳурии Тоҷикистон</w:t>
      </w:r>
      <w:bookmarkEnd w:id="0"/>
    </w:p>
    <w:sectPr w:rsidR="00184FE8" w:rsidRPr="00FE6271" w:rsidSect="00184FE8">
      <w:footerReference w:type="default" r:id="rId11"/>
      <w:pgSz w:w="11906" w:h="16838"/>
      <w:pgMar w:top="709"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C977" w14:textId="77777777" w:rsidR="00E615CE" w:rsidRDefault="00E615CE" w:rsidP="0079241F">
      <w:pPr>
        <w:spacing w:after="0" w:line="240" w:lineRule="auto"/>
      </w:pPr>
      <w:r>
        <w:separator/>
      </w:r>
    </w:p>
  </w:endnote>
  <w:endnote w:type="continuationSeparator" w:id="0">
    <w:p w14:paraId="3EB713D6" w14:textId="77777777" w:rsidR="00E615CE" w:rsidRDefault="00E615CE" w:rsidP="0079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900000"/>
      <w:docPartObj>
        <w:docPartGallery w:val="Page Numbers (Bottom of Page)"/>
        <w:docPartUnique/>
      </w:docPartObj>
    </w:sdtPr>
    <w:sdtEndPr/>
    <w:sdtContent>
      <w:p w14:paraId="324C569A" w14:textId="0E7C493E" w:rsidR="009C09DF" w:rsidRDefault="009C09DF">
        <w:pPr>
          <w:pStyle w:val="a6"/>
          <w:jc w:val="right"/>
        </w:pPr>
        <w:r>
          <w:fldChar w:fldCharType="begin"/>
        </w:r>
        <w:r>
          <w:instrText>PAGE   \* MERGEFORMAT</w:instrText>
        </w:r>
        <w:r>
          <w:fldChar w:fldCharType="separate"/>
        </w:r>
        <w:r w:rsidR="002478F5">
          <w:rPr>
            <w:noProof/>
          </w:rPr>
          <w:t>5</w:t>
        </w:r>
        <w:r>
          <w:fldChar w:fldCharType="end"/>
        </w:r>
      </w:p>
    </w:sdtContent>
  </w:sdt>
  <w:p w14:paraId="5D553C19" w14:textId="77777777" w:rsidR="009C09DF" w:rsidRDefault="009C09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5614" w14:textId="77777777" w:rsidR="00E615CE" w:rsidRDefault="00E615CE" w:rsidP="0079241F">
      <w:pPr>
        <w:spacing w:after="0" w:line="240" w:lineRule="auto"/>
      </w:pPr>
      <w:r>
        <w:separator/>
      </w:r>
    </w:p>
  </w:footnote>
  <w:footnote w:type="continuationSeparator" w:id="0">
    <w:p w14:paraId="1B884A04" w14:textId="77777777" w:rsidR="00E615CE" w:rsidRDefault="00E615CE" w:rsidP="007924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C5"/>
    <w:rsid w:val="00007F36"/>
    <w:rsid w:val="0005440B"/>
    <w:rsid w:val="000B2095"/>
    <w:rsid w:val="000C18FE"/>
    <w:rsid w:val="000D1F3B"/>
    <w:rsid w:val="00115C6C"/>
    <w:rsid w:val="0012721F"/>
    <w:rsid w:val="001329E8"/>
    <w:rsid w:val="00133ACE"/>
    <w:rsid w:val="001509F7"/>
    <w:rsid w:val="001541FE"/>
    <w:rsid w:val="00157BED"/>
    <w:rsid w:val="001658EA"/>
    <w:rsid w:val="001731CA"/>
    <w:rsid w:val="00184FE8"/>
    <w:rsid w:val="00190A0D"/>
    <w:rsid w:val="001941F1"/>
    <w:rsid w:val="001C1476"/>
    <w:rsid w:val="001C6A3C"/>
    <w:rsid w:val="001D7658"/>
    <w:rsid w:val="001E36AC"/>
    <w:rsid w:val="001F55B9"/>
    <w:rsid w:val="002124F8"/>
    <w:rsid w:val="002478F5"/>
    <w:rsid w:val="002634CE"/>
    <w:rsid w:val="002A37C0"/>
    <w:rsid w:val="002A539D"/>
    <w:rsid w:val="002C1CB4"/>
    <w:rsid w:val="002D3D9B"/>
    <w:rsid w:val="002D64A1"/>
    <w:rsid w:val="002D6A8B"/>
    <w:rsid w:val="002E174B"/>
    <w:rsid w:val="00300DDA"/>
    <w:rsid w:val="00301A7A"/>
    <w:rsid w:val="00327719"/>
    <w:rsid w:val="00376A12"/>
    <w:rsid w:val="00397FAE"/>
    <w:rsid w:val="003D326D"/>
    <w:rsid w:val="003E31CC"/>
    <w:rsid w:val="004029A5"/>
    <w:rsid w:val="00445D6F"/>
    <w:rsid w:val="0045410B"/>
    <w:rsid w:val="00457E6A"/>
    <w:rsid w:val="00483070"/>
    <w:rsid w:val="004A429A"/>
    <w:rsid w:val="004B46FE"/>
    <w:rsid w:val="004D2063"/>
    <w:rsid w:val="004F2270"/>
    <w:rsid w:val="00576B77"/>
    <w:rsid w:val="005E1567"/>
    <w:rsid w:val="005F1218"/>
    <w:rsid w:val="005F2F2B"/>
    <w:rsid w:val="00637C34"/>
    <w:rsid w:val="00641D02"/>
    <w:rsid w:val="0066764C"/>
    <w:rsid w:val="007322CE"/>
    <w:rsid w:val="00764121"/>
    <w:rsid w:val="0079093C"/>
    <w:rsid w:val="0079241F"/>
    <w:rsid w:val="007A076C"/>
    <w:rsid w:val="007A0B77"/>
    <w:rsid w:val="007A7474"/>
    <w:rsid w:val="007E27DD"/>
    <w:rsid w:val="007E4DEE"/>
    <w:rsid w:val="007E7224"/>
    <w:rsid w:val="007F4853"/>
    <w:rsid w:val="00806D03"/>
    <w:rsid w:val="00813669"/>
    <w:rsid w:val="008251C6"/>
    <w:rsid w:val="00845869"/>
    <w:rsid w:val="00846A5A"/>
    <w:rsid w:val="008574BC"/>
    <w:rsid w:val="00865C9C"/>
    <w:rsid w:val="00872E87"/>
    <w:rsid w:val="008A2727"/>
    <w:rsid w:val="008B4470"/>
    <w:rsid w:val="008C4D93"/>
    <w:rsid w:val="008D03A3"/>
    <w:rsid w:val="00912757"/>
    <w:rsid w:val="00920851"/>
    <w:rsid w:val="00970C70"/>
    <w:rsid w:val="00972727"/>
    <w:rsid w:val="009C09DF"/>
    <w:rsid w:val="009D3B38"/>
    <w:rsid w:val="00A113C4"/>
    <w:rsid w:val="00A41CB6"/>
    <w:rsid w:val="00A56315"/>
    <w:rsid w:val="00A56807"/>
    <w:rsid w:val="00A66E06"/>
    <w:rsid w:val="00AC5312"/>
    <w:rsid w:val="00B01893"/>
    <w:rsid w:val="00B07AC1"/>
    <w:rsid w:val="00B35073"/>
    <w:rsid w:val="00B6362C"/>
    <w:rsid w:val="00B94659"/>
    <w:rsid w:val="00BD2054"/>
    <w:rsid w:val="00C13114"/>
    <w:rsid w:val="00C50956"/>
    <w:rsid w:val="00CD4D4E"/>
    <w:rsid w:val="00CD5BB8"/>
    <w:rsid w:val="00CF17E6"/>
    <w:rsid w:val="00CF3713"/>
    <w:rsid w:val="00D019D9"/>
    <w:rsid w:val="00D0376A"/>
    <w:rsid w:val="00D21919"/>
    <w:rsid w:val="00D31221"/>
    <w:rsid w:val="00D43F06"/>
    <w:rsid w:val="00D6193B"/>
    <w:rsid w:val="00DF1206"/>
    <w:rsid w:val="00DF2503"/>
    <w:rsid w:val="00E01FBB"/>
    <w:rsid w:val="00E05C6D"/>
    <w:rsid w:val="00E1131C"/>
    <w:rsid w:val="00E35F63"/>
    <w:rsid w:val="00E615CE"/>
    <w:rsid w:val="00E913D0"/>
    <w:rsid w:val="00E95FA6"/>
    <w:rsid w:val="00EB57ED"/>
    <w:rsid w:val="00EC60C5"/>
    <w:rsid w:val="00ED0031"/>
    <w:rsid w:val="00F202DF"/>
    <w:rsid w:val="00F24A0F"/>
    <w:rsid w:val="00F3589D"/>
    <w:rsid w:val="00F750FE"/>
    <w:rsid w:val="00FB47E8"/>
    <w:rsid w:val="00FE6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04B2"/>
  <w15:docId w15:val="{36308C20-8A19-42FC-9EC0-87DF67DB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0C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9241F"/>
    <w:pPr>
      <w:spacing w:after="0" w:line="240" w:lineRule="auto"/>
    </w:pPr>
    <w:rPr>
      <w:sz w:val="20"/>
      <w:szCs w:val="20"/>
    </w:rPr>
  </w:style>
  <w:style w:type="character" w:customStyle="1" w:styleId="a4">
    <w:name w:val="Текст сноски Знак"/>
    <w:basedOn w:val="a0"/>
    <w:link w:val="a3"/>
    <w:uiPriority w:val="99"/>
    <w:semiHidden/>
    <w:rsid w:val="0079241F"/>
    <w:rPr>
      <w:rFonts w:ascii="Calibri" w:eastAsia="Calibri" w:hAnsi="Calibri" w:cs="Times New Roman"/>
      <w:sz w:val="20"/>
      <w:szCs w:val="20"/>
    </w:rPr>
  </w:style>
  <w:style w:type="character" w:styleId="a5">
    <w:name w:val="footnote reference"/>
    <w:basedOn w:val="a0"/>
    <w:uiPriority w:val="99"/>
    <w:semiHidden/>
    <w:unhideWhenUsed/>
    <w:rsid w:val="0079241F"/>
    <w:rPr>
      <w:vertAlign w:val="superscript"/>
    </w:rPr>
  </w:style>
  <w:style w:type="paragraph" w:styleId="a6">
    <w:name w:val="footer"/>
    <w:basedOn w:val="a"/>
    <w:link w:val="a7"/>
    <w:uiPriority w:val="99"/>
    <w:unhideWhenUsed/>
    <w:rsid w:val="0079241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241F"/>
    <w:rPr>
      <w:rFonts w:ascii="Calibri" w:eastAsia="Calibri" w:hAnsi="Calibri" w:cs="Times New Roman"/>
    </w:rPr>
  </w:style>
  <w:style w:type="table" w:customStyle="1" w:styleId="1">
    <w:name w:val="Сетка таблицы1"/>
    <w:basedOn w:val="a1"/>
    <w:next w:val="a8"/>
    <w:uiPriority w:val="59"/>
    <w:rsid w:val="00920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92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99"/>
    <w:semiHidden/>
    <w:unhideWhenUsed/>
    <w:rsid w:val="00D31221"/>
    <w:pPr>
      <w:spacing w:after="120"/>
    </w:pPr>
  </w:style>
  <w:style w:type="character" w:customStyle="1" w:styleId="aa">
    <w:name w:val="Основной текст Знак"/>
    <w:basedOn w:val="a0"/>
    <w:link w:val="a9"/>
    <w:uiPriority w:val="99"/>
    <w:semiHidden/>
    <w:rsid w:val="00D31221"/>
    <w:rPr>
      <w:rFonts w:ascii="Calibri" w:eastAsia="Calibri" w:hAnsi="Calibri" w:cs="Times New Roman"/>
    </w:rPr>
  </w:style>
  <w:style w:type="paragraph" w:styleId="ab">
    <w:name w:val="Body Text First Indent"/>
    <w:basedOn w:val="a9"/>
    <w:link w:val="ac"/>
    <w:rsid w:val="00D31221"/>
    <w:pPr>
      <w:spacing w:line="240" w:lineRule="auto"/>
      <w:ind w:firstLine="210"/>
    </w:pPr>
    <w:rPr>
      <w:rFonts w:ascii="Times New Roman" w:eastAsia="Times New Roman" w:hAnsi="Times New Roman"/>
      <w:sz w:val="24"/>
      <w:szCs w:val="24"/>
      <w:lang w:eastAsia="ru-RU"/>
    </w:rPr>
  </w:style>
  <w:style w:type="character" w:customStyle="1" w:styleId="ac">
    <w:name w:val="Красная строка Знак"/>
    <w:basedOn w:val="aa"/>
    <w:link w:val="ab"/>
    <w:rsid w:val="00D31221"/>
    <w:rPr>
      <w:rFonts w:ascii="Times New Roman" w:eastAsia="Times New Roman" w:hAnsi="Times New Roman" w:cs="Times New Roman"/>
      <w:sz w:val="24"/>
      <w:szCs w:val="24"/>
      <w:lang w:eastAsia="ru-RU"/>
    </w:rPr>
  </w:style>
  <w:style w:type="character" w:customStyle="1" w:styleId="ad">
    <w:name w:val="Абзац списка Знак"/>
    <w:aliases w:val="Bullet  Знак,List L1 Знак,Bullet 1 Знак,b1 Знак,References Знак,ReferencesCxSpLast Знак,Numbered List Paragraph Знак,Numbered Paragraph Знак,Main numbered paragraph Знак,Colorful List - Accent 11 Знак,List_Paragraph Знак,Bullet1 Знак"/>
    <w:link w:val="ae"/>
    <w:uiPriority w:val="34"/>
    <w:qFormat/>
    <w:locked/>
    <w:rsid w:val="00E913D0"/>
  </w:style>
  <w:style w:type="paragraph" w:styleId="ae">
    <w:name w:val="List Paragraph"/>
    <w:aliases w:val="Bullet ,List L1,Bullet 1,b1,References,ReferencesCxSpLast,Numbered List Paragraph,Numbered Paragraph,Main numbered paragraph,Colorful List - Accent 11,List_Paragraph,Multilevel para_II,List Paragraph1,Akapit z listą BS,Bullet1,Bullets"/>
    <w:basedOn w:val="a"/>
    <w:link w:val="ad"/>
    <w:uiPriority w:val="34"/>
    <w:qFormat/>
    <w:rsid w:val="00E913D0"/>
    <w:pPr>
      <w:ind w:left="720"/>
      <w:contextualSpacing/>
    </w:pPr>
    <w:rPr>
      <w:rFonts w:asciiTheme="minorHAnsi" w:eastAsiaTheme="minorHAnsi" w:hAnsiTheme="minorHAnsi" w:cstheme="minorBidi"/>
    </w:rPr>
  </w:style>
  <w:style w:type="paragraph" w:styleId="af">
    <w:name w:val="No Spacing"/>
    <w:aliases w:val="Основной,No Spacing"/>
    <w:link w:val="af0"/>
    <w:uiPriority w:val="1"/>
    <w:qFormat/>
    <w:rsid w:val="002A37C0"/>
    <w:pPr>
      <w:spacing w:after="0" w:line="240" w:lineRule="auto"/>
    </w:pPr>
    <w:rPr>
      <w:rFonts w:ascii="Calibri" w:eastAsia="Calibri" w:hAnsi="Calibri" w:cs="Calibri"/>
      <w:lang w:val="tg-Cyrl-TJ"/>
    </w:rPr>
  </w:style>
  <w:style w:type="character" w:customStyle="1" w:styleId="af0">
    <w:name w:val="Без интервала Знак"/>
    <w:aliases w:val="Основной Знак,No Spacing Знак"/>
    <w:link w:val="af"/>
    <w:uiPriority w:val="1"/>
    <w:rsid w:val="002A37C0"/>
    <w:rPr>
      <w:rFonts w:ascii="Calibri" w:eastAsia="Calibri" w:hAnsi="Calibri" w:cs="Calibri"/>
      <w:lang w:val="tg-Cyrl-TJ"/>
    </w:rPr>
  </w:style>
  <w:style w:type="character" w:styleId="af1">
    <w:name w:val="Hyperlink"/>
    <w:basedOn w:val="a0"/>
    <w:uiPriority w:val="99"/>
    <w:unhideWhenUsed/>
    <w:rsid w:val="009C09DF"/>
    <w:rPr>
      <w:color w:val="0563C1" w:themeColor="hyperlink"/>
      <w:u w:val="single"/>
    </w:rPr>
  </w:style>
  <w:style w:type="paragraph" w:styleId="af2">
    <w:name w:val="header"/>
    <w:basedOn w:val="a"/>
    <w:link w:val="af3"/>
    <w:uiPriority w:val="99"/>
    <w:unhideWhenUsed/>
    <w:rsid w:val="009C09DF"/>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C09D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8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com.t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uzoyada-kvd.tj" TargetMode="External"/><Relationship Id="rId4" Type="http://schemas.openxmlformats.org/officeDocument/2006/relationships/webSettings" Target="webSettings.xml"/><Relationship Id="rId9" Type="http://schemas.openxmlformats.org/officeDocument/2006/relationships/hyperlink" Target="http://www.tajinvest.t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C20F-C5C4-4253-8D9B-C5273CBE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1246</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HP</cp:lastModifiedBy>
  <cp:revision>2</cp:revision>
  <cp:lastPrinted>2026-02-09T09:25:00Z</cp:lastPrinted>
  <dcterms:created xsi:type="dcterms:W3CDTF">2026-02-10T11:08:00Z</dcterms:created>
  <dcterms:modified xsi:type="dcterms:W3CDTF">2026-02-10T11:08:00Z</dcterms:modified>
</cp:coreProperties>
</file>