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1A" w:rsidRPr="00E02D22" w:rsidRDefault="00ED631A" w:rsidP="00ED631A">
      <w:pPr>
        <w:pStyle w:val="Titre0"/>
        <w:spacing w:after="0"/>
        <w:rPr>
          <w:sz w:val="28"/>
        </w:rPr>
      </w:pPr>
      <w:bookmarkStart w:id="0" w:name="_Toc491258204"/>
      <w:bookmarkStart w:id="1" w:name="_Toc152012592"/>
      <w:r w:rsidRPr="00E02D22">
        <w:rPr>
          <w:sz w:val="28"/>
        </w:rPr>
        <w:t>Request for bids</w:t>
      </w:r>
      <w:bookmarkEnd w:id="0"/>
      <w:bookmarkEnd w:id="1"/>
      <w:r w:rsidRPr="00E02D22">
        <w:rPr>
          <w:sz w:val="28"/>
        </w:rPr>
        <w:t xml:space="preserve">  </w:t>
      </w:r>
      <w:bookmarkStart w:id="2" w:name="_GoBack"/>
      <w:bookmarkEnd w:id="2"/>
    </w:p>
    <w:p w:rsidR="00ED631A" w:rsidRPr="00E02D22" w:rsidRDefault="00ED631A" w:rsidP="00ED631A">
      <w:pPr>
        <w:pStyle w:val="a3"/>
        <w:spacing w:before="0" w:after="0"/>
        <w:ind w:left="0"/>
        <w:rPr>
          <w:b/>
          <w:sz w:val="18"/>
        </w:rPr>
      </w:pPr>
      <w:r w:rsidRPr="00E02D22">
        <w:rPr>
          <w:b/>
          <w:sz w:val="18"/>
        </w:rPr>
        <w:t>Small works (One-Envelope Bidding Process)</w:t>
      </w:r>
    </w:p>
    <w:p w:rsidR="00ED631A" w:rsidRPr="00E02D22" w:rsidRDefault="00ED631A" w:rsidP="00ED631A">
      <w:pPr>
        <w:pStyle w:val="a3"/>
        <w:spacing w:before="0" w:after="0"/>
        <w:ind w:left="0"/>
        <w:rPr>
          <w:sz w:val="18"/>
        </w:rPr>
      </w:pPr>
      <w:r w:rsidRPr="00E02D22">
        <w:rPr>
          <w:sz w:val="18"/>
        </w:rPr>
        <w:t xml:space="preserve">Employer: OJSC </w:t>
      </w:r>
      <w:proofErr w:type="spellStart"/>
      <w:r w:rsidRPr="00E02D22">
        <w:rPr>
          <w:sz w:val="18"/>
        </w:rPr>
        <w:t>Barqi</w:t>
      </w:r>
      <w:proofErr w:type="spellEnd"/>
      <w:r w:rsidRPr="00E02D22">
        <w:rPr>
          <w:sz w:val="18"/>
        </w:rPr>
        <w:t xml:space="preserve"> </w:t>
      </w:r>
      <w:proofErr w:type="spellStart"/>
      <w:r w:rsidRPr="00E02D22">
        <w:rPr>
          <w:sz w:val="18"/>
        </w:rPr>
        <w:t>Tojik</w:t>
      </w:r>
      <w:proofErr w:type="spellEnd"/>
    </w:p>
    <w:p w:rsidR="00ED631A" w:rsidRPr="00E02D22" w:rsidRDefault="00ED631A" w:rsidP="00ED631A">
      <w:pPr>
        <w:pStyle w:val="a3"/>
        <w:spacing w:before="0" w:after="0"/>
        <w:ind w:left="0"/>
        <w:rPr>
          <w:sz w:val="18"/>
        </w:rPr>
      </w:pPr>
      <w:r w:rsidRPr="00E02D22">
        <w:rPr>
          <w:sz w:val="18"/>
        </w:rPr>
        <w:t xml:space="preserve">Project: </w:t>
      </w:r>
      <w:proofErr w:type="spellStart"/>
      <w:r w:rsidRPr="00E02D22">
        <w:rPr>
          <w:sz w:val="18"/>
        </w:rPr>
        <w:t>Nurek</w:t>
      </w:r>
      <w:proofErr w:type="spellEnd"/>
      <w:r w:rsidRPr="00E02D22">
        <w:rPr>
          <w:sz w:val="18"/>
        </w:rPr>
        <w:t xml:space="preserve"> hydropower rehabilitation project</w:t>
      </w:r>
    </w:p>
    <w:p w:rsidR="00ED631A" w:rsidRPr="00E02D22" w:rsidRDefault="00ED631A" w:rsidP="00ED631A">
      <w:pPr>
        <w:pStyle w:val="a3"/>
        <w:spacing w:before="0" w:after="0"/>
        <w:ind w:left="0"/>
        <w:rPr>
          <w:sz w:val="18"/>
        </w:rPr>
      </w:pPr>
      <w:r w:rsidRPr="00E02D22">
        <w:rPr>
          <w:sz w:val="18"/>
        </w:rPr>
        <w:t xml:space="preserve">Contract title: Penstock inspection and repairs </w:t>
      </w:r>
    </w:p>
    <w:p w:rsidR="00ED631A" w:rsidRPr="00E02D22" w:rsidRDefault="00ED631A" w:rsidP="00ED631A">
      <w:pPr>
        <w:pStyle w:val="a3"/>
        <w:spacing w:before="0" w:after="0"/>
        <w:ind w:left="0"/>
        <w:rPr>
          <w:sz w:val="18"/>
        </w:rPr>
      </w:pPr>
      <w:r w:rsidRPr="00E02D22">
        <w:rPr>
          <w:sz w:val="18"/>
        </w:rPr>
        <w:t>Country: Tajikistan</w:t>
      </w:r>
    </w:p>
    <w:p w:rsidR="00ED631A" w:rsidRPr="00E02D22" w:rsidRDefault="00ED631A" w:rsidP="00ED631A">
      <w:pPr>
        <w:pStyle w:val="a3"/>
        <w:spacing w:before="0" w:after="0"/>
        <w:ind w:left="0"/>
        <w:rPr>
          <w:sz w:val="18"/>
        </w:rPr>
      </w:pPr>
      <w:r w:rsidRPr="00E02D22">
        <w:rPr>
          <w:sz w:val="18"/>
        </w:rPr>
        <w:t>Credit No. 6024-TJ (Portion A), Credit No. 6025-TJ (Portion B), Grant No. D179-TJ</w:t>
      </w:r>
    </w:p>
    <w:p w:rsidR="00ED631A" w:rsidRPr="00E02D22" w:rsidRDefault="00ED631A" w:rsidP="00ED631A">
      <w:pPr>
        <w:pStyle w:val="a3"/>
        <w:spacing w:before="0" w:after="0"/>
        <w:ind w:left="0"/>
        <w:rPr>
          <w:sz w:val="18"/>
        </w:rPr>
      </w:pPr>
      <w:r w:rsidRPr="00E02D22">
        <w:rPr>
          <w:sz w:val="18"/>
        </w:rPr>
        <w:t>RFB No: TJ NHPP RFB P5</w:t>
      </w:r>
    </w:p>
    <w:p w:rsidR="00ED631A" w:rsidRPr="00E02D22" w:rsidRDefault="00ED631A" w:rsidP="0003413C">
      <w:pPr>
        <w:pStyle w:val="a3"/>
        <w:spacing w:before="60" w:after="0"/>
        <w:ind w:left="284" w:hanging="284"/>
        <w:rPr>
          <w:sz w:val="18"/>
        </w:rPr>
      </w:pPr>
      <w:r w:rsidRPr="00E02D22">
        <w:rPr>
          <w:sz w:val="18"/>
        </w:rPr>
        <w:t>1.</w:t>
      </w:r>
      <w:r w:rsidRPr="00E02D22">
        <w:rPr>
          <w:sz w:val="18"/>
        </w:rPr>
        <w:tab/>
        <w:t xml:space="preserve">The Republic of Tajikistan has applied for financing from the World Bank toward the cost of the </w:t>
      </w:r>
      <w:proofErr w:type="spellStart"/>
      <w:r w:rsidRPr="00E02D22">
        <w:rPr>
          <w:sz w:val="18"/>
        </w:rPr>
        <w:t>Nurek</w:t>
      </w:r>
      <w:proofErr w:type="spellEnd"/>
      <w:r w:rsidRPr="00E02D22">
        <w:rPr>
          <w:sz w:val="18"/>
        </w:rPr>
        <w:t xml:space="preserve"> hydropower rehabilitation project and intends to apply part of the proceeds toward payments under the contract for Penstocks rehabilitation. </w:t>
      </w:r>
    </w:p>
    <w:p w:rsidR="00ED631A" w:rsidRPr="00E02D22" w:rsidRDefault="00ED631A" w:rsidP="0003413C">
      <w:pPr>
        <w:pStyle w:val="a3"/>
        <w:spacing w:before="60" w:after="0"/>
        <w:ind w:left="284" w:hanging="284"/>
        <w:rPr>
          <w:sz w:val="18"/>
        </w:rPr>
      </w:pPr>
      <w:r w:rsidRPr="00E02D22">
        <w:rPr>
          <w:sz w:val="18"/>
        </w:rPr>
        <w:t>2.</w:t>
      </w:r>
      <w:r w:rsidRPr="00E02D22">
        <w:rPr>
          <w:sz w:val="18"/>
        </w:rPr>
        <w:tab/>
        <w:t xml:space="preserve">The OJSC </w:t>
      </w:r>
      <w:proofErr w:type="spellStart"/>
      <w:r w:rsidRPr="00E02D22">
        <w:rPr>
          <w:sz w:val="18"/>
        </w:rPr>
        <w:t>Barqi</w:t>
      </w:r>
      <w:proofErr w:type="spellEnd"/>
      <w:r w:rsidRPr="00E02D22">
        <w:rPr>
          <w:sz w:val="18"/>
        </w:rPr>
        <w:t xml:space="preserve"> </w:t>
      </w:r>
      <w:proofErr w:type="spellStart"/>
      <w:r w:rsidRPr="00E02D22">
        <w:rPr>
          <w:sz w:val="18"/>
        </w:rPr>
        <w:t>Tojik</w:t>
      </w:r>
      <w:proofErr w:type="spellEnd"/>
      <w:r w:rsidRPr="00E02D22">
        <w:rPr>
          <w:sz w:val="18"/>
        </w:rPr>
        <w:t xml:space="preserve">, implementing agency for the project, now invites sealed Bids from eligible Bidders for the following supplies and services relating to the </w:t>
      </w:r>
      <w:proofErr w:type="spellStart"/>
      <w:r w:rsidRPr="00E02D22">
        <w:rPr>
          <w:sz w:val="18"/>
        </w:rPr>
        <w:t>Nurek</w:t>
      </w:r>
      <w:proofErr w:type="spellEnd"/>
      <w:r w:rsidRPr="00E02D22">
        <w:rPr>
          <w:sz w:val="18"/>
        </w:rPr>
        <w:t xml:space="preserve"> </w:t>
      </w:r>
      <w:r w:rsidR="008569AA" w:rsidRPr="00E02D22">
        <w:rPr>
          <w:sz w:val="18"/>
        </w:rPr>
        <w:t xml:space="preserve">Hydro </w:t>
      </w:r>
      <w:proofErr w:type="spellStart"/>
      <w:r w:rsidR="008569AA" w:rsidRPr="00E02D22">
        <w:rPr>
          <w:sz w:val="18"/>
        </w:rPr>
        <w:t>Powerplant</w:t>
      </w:r>
      <w:proofErr w:type="spellEnd"/>
      <w:r w:rsidR="008569AA" w:rsidRPr="00E02D22">
        <w:rPr>
          <w:sz w:val="18"/>
        </w:rPr>
        <w:t xml:space="preserve"> </w:t>
      </w:r>
      <w:r w:rsidRPr="00E02D22">
        <w:rPr>
          <w:sz w:val="18"/>
        </w:rPr>
        <w:t xml:space="preserve">on the </w:t>
      </w:r>
      <w:proofErr w:type="spellStart"/>
      <w:r w:rsidR="008569AA" w:rsidRPr="00E02D22">
        <w:rPr>
          <w:sz w:val="18"/>
        </w:rPr>
        <w:t>Vakhsh</w:t>
      </w:r>
      <w:proofErr w:type="spellEnd"/>
      <w:r w:rsidR="008569AA" w:rsidRPr="00E02D22">
        <w:rPr>
          <w:sz w:val="18"/>
        </w:rPr>
        <w:t xml:space="preserve"> </w:t>
      </w:r>
      <w:r w:rsidRPr="00E02D22">
        <w:rPr>
          <w:sz w:val="18"/>
        </w:rPr>
        <w:t>River in central Tajikistan:</w:t>
      </w:r>
    </w:p>
    <w:p w:rsidR="00ED631A" w:rsidRPr="00E02D22" w:rsidRDefault="00ED631A" w:rsidP="00ED631A">
      <w:pPr>
        <w:pStyle w:val="a3"/>
        <w:numPr>
          <w:ilvl w:val="0"/>
          <w:numId w:val="1"/>
        </w:numPr>
        <w:spacing w:before="0" w:after="0"/>
        <w:ind w:left="568" w:hanging="284"/>
        <w:rPr>
          <w:sz w:val="18"/>
        </w:rPr>
      </w:pPr>
      <w:r w:rsidRPr="00E02D22">
        <w:rPr>
          <w:sz w:val="18"/>
        </w:rPr>
        <w:t>Detailed inspection of the Horizontal section of nine penstocks.</w:t>
      </w:r>
    </w:p>
    <w:p w:rsidR="00ED631A" w:rsidRPr="00E02D22" w:rsidRDefault="00ED631A" w:rsidP="00ED631A">
      <w:pPr>
        <w:pStyle w:val="a3"/>
        <w:numPr>
          <w:ilvl w:val="0"/>
          <w:numId w:val="1"/>
        </w:numPr>
        <w:spacing w:before="0" w:after="0"/>
        <w:ind w:left="568" w:hanging="284"/>
        <w:rPr>
          <w:sz w:val="18"/>
        </w:rPr>
      </w:pPr>
      <w:r w:rsidRPr="00E02D22">
        <w:rPr>
          <w:sz w:val="18"/>
        </w:rPr>
        <w:t xml:space="preserve">Repair of the detected indications and cracks. </w:t>
      </w:r>
    </w:p>
    <w:p w:rsidR="00ED631A" w:rsidRPr="00E02D22" w:rsidRDefault="00ED631A" w:rsidP="00ED631A">
      <w:pPr>
        <w:pStyle w:val="a3"/>
        <w:numPr>
          <w:ilvl w:val="0"/>
          <w:numId w:val="1"/>
        </w:numPr>
        <w:spacing w:before="0" w:after="0"/>
        <w:ind w:left="568" w:hanging="284"/>
        <w:rPr>
          <w:sz w:val="18"/>
        </w:rPr>
      </w:pPr>
      <w:r w:rsidRPr="00E02D22">
        <w:rPr>
          <w:sz w:val="18"/>
        </w:rPr>
        <w:t xml:space="preserve">Repair of the previously bad repaired works. </w:t>
      </w:r>
    </w:p>
    <w:p w:rsidR="00ED631A" w:rsidRPr="00E02D22" w:rsidRDefault="00ED631A" w:rsidP="0003413C">
      <w:pPr>
        <w:pStyle w:val="a3"/>
        <w:spacing w:before="60" w:after="0"/>
        <w:ind w:left="284" w:hanging="284"/>
        <w:rPr>
          <w:sz w:val="18"/>
        </w:rPr>
      </w:pPr>
      <w:r w:rsidRPr="00E02D22">
        <w:rPr>
          <w:sz w:val="18"/>
        </w:rPr>
        <w:t>3.</w:t>
      </w:r>
      <w:r w:rsidRPr="00E02D22">
        <w:rPr>
          <w:sz w:val="18"/>
        </w:rPr>
        <w:tab/>
        <w:t xml:space="preserve">Bidding will be conducted through international competitive procurement using a Request for Bids (RFB) as specified in the World Bank’s “Procurement Regulations for IPF Borrowers”  March 2022 (“Procurement Regulations”), and is open to all Bidders as defined in the Procurement Regulations. </w:t>
      </w:r>
    </w:p>
    <w:p w:rsidR="00ED631A" w:rsidRPr="00E02D22" w:rsidRDefault="00ED631A" w:rsidP="0003413C">
      <w:pPr>
        <w:pStyle w:val="a3"/>
        <w:spacing w:before="60" w:after="0"/>
        <w:ind w:left="284" w:hanging="284"/>
        <w:rPr>
          <w:sz w:val="18"/>
        </w:rPr>
      </w:pPr>
      <w:r w:rsidRPr="00E02D22">
        <w:rPr>
          <w:sz w:val="18"/>
        </w:rPr>
        <w:t>4.</w:t>
      </w:r>
      <w:r w:rsidRPr="00E02D22">
        <w:rPr>
          <w:sz w:val="18"/>
        </w:rPr>
        <w:tab/>
        <w:t xml:space="preserve">Interested eligible Bidders may obtain further information from OJSC </w:t>
      </w:r>
      <w:proofErr w:type="spellStart"/>
      <w:r w:rsidRPr="00E02D22">
        <w:rPr>
          <w:sz w:val="18"/>
        </w:rPr>
        <w:t>Barqi</w:t>
      </w:r>
      <w:proofErr w:type="spellEnd"/>
      <w:r w:rsidRPr="00E02D22">
        <w:rPr>
          <w:sz w:val="18"/>
        </w:rPr>
        <w:t xml:space="preserve"> </w:t>
      </w:r>
      <w:proofErr w:type="spellStart"/>
      <w:r w:rsidRPr="00E02D22">
        <w:rPr>
          <w:sz w:val="18"/>
        </w:rPr>
        <w:t>Tojik</w:t>
      </w:r>
      <w:proofErr w:type="spellEnd"/>
      <w:r w:rsidRPr="00E02D22">
        <w:rPr>
          <w:sz w:val="18"/>
        </w:rPr>
        <w:t xml:space="preserve"> and inspect the bidding document during office hours at the address given below </w:t>
      </w:r>
    </w:p>
    <w:p w:rsidR="00ED631A" w:rsidRPr="00E02D22" w:rsidRDefault="00ED631A" w:rsidP="0003413C">
      <w:pPr>
        <w:pStyle w:val="a3"/>
        <w:spacing w:before="60" w:after="0"/>
        <w:ind w:left="284" w:hanging="284"/>
        <w:rPr>
          <w:sz w:val="18"/>
        </w:rPr>
      </w:pPr>
      <w:r w:rsidRPr="00E02D22">
        <w:rPr>
          <w:sz w:val="18"/>
        </w:rPr>
        <w:t>5.</w:t>
      </w:r>
      <w:r w:rsidRPr="00E02D22">
        <w:rPr>
          <w:sz w:val="18"/>
        </w:rPr>
        <w:tab/>
        <w:t xml:space="preserve">The bidding document in English may be purchased by interested eligible Bidders upon the submission of a written application to the address below and upon payment of a nonrefundable fee of three hundred United States Dollars (300 USD) or equivalent sum in local currency or in Euros. The payment shall be clearly labeled as Purpose of Payment: “Company [name of Bidder] - Purchase of Bidding Documents for </w:t>
      </w:r>
      <w:proofErr w:type="spellStart"/>
      <w:r w:rsidRPr="00E02D22">
        <w:rPr>
          <w:sz w:val="18"/>
        </w:rPr>
        <w:t>Nurek</w:t>
      </w:r>
      <w:proofErr w:type="spellEnd"/>
      <w:r w:rsidRPr="00E02D22">
        <w:rPr>
          <w:sz w:val="18"/>
        </w:rPr>
        <w:t xml:space="preserve"> HPP Rehabilitation Project” The method of payment will be by bank transfer to:</w:t>
      </w:r>
    </w:p>
    <w:p w:rsidR="00ED631A" w:rsidRPr="00E02D22" w:rsidRDefault="00ED631A" w:rsidP="00596967">
      <w:pPr>
        <w:pStyle w:val="a3"/>
        <w:spacing w:before="120" w:after="0"/>
        <w:ind w:left="284"/>
        <w:rPr>
          <w:sz w:val="18"/>
        </w:rPr>
      </w:pPr>
      <w:r w:rsidRPr="00E02D22">
        <w:rPr>
          <w:sz w:val="18"/>
        </w:rPr>
        <w:t xml:space="preserve">Bank details for payments in Tajik </w:t>
      </w:r>
      <w:proofErr w:type="spellStart"/>
      <w:r w:rsidRPr="00E02D22">
        <w:rPr>
          <w:sz w:val="18"/>
        </w:rPr>
        <w:t>Somoni</w:t>
      </w:r>
      <w:proofErr w:type="spellEnd"/>
    </w:p>
    <w:tbl>
      <w:tblPr>
        <w:tblStyle w:val="a5"/>
        <w:tblW w:w="9497" w:type="dxa"/>
        <w:tblInd w:w="279" w:type="dxa"/>
        <w:tblLook w:val="04A0" w:firstRow="1" w:lastRow="0" w:firstColumn="1" w:lastColumn="0" w:noHBand="0" w:noVBand="1"/>
      </w:tblPr>
      <w:tblGrid>
        <w:gridCol w:w="2552"/>
        <w:gridCol w:w="6945"/>
      </w:tblGrid>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Bank Name:</w:t>
            </w:r>
          </w:p>
        </w:tc>
        <w:tc>
          <w:tcPr>
            <w:tcW w:w="6945" w:type="dxa"/>
          </w:tcPr>
          <w:p w:rsidR="00ED631A" w:rsidRPr="00E02D22" w:rsidRDefault="005D0313" w:rsidP="00ED631A">
            <w:pPr>
              <w:pStyle w:val="a3"/>
              <w:spacing w:before="0" w:after="0"/>
              <w:ind w:left="0"/>
              <w:rPr>
                <w:sz w:val="18"/>
              </w:rPr>
            </w:pPr>
            <w:r w:rsidRPr="00E02D22">
              <w:rPr>
                <w:sz w:val="18"/>
              </w:rPr>
              <w:t>SUE Savings Bank of the Republic Tajikistan "</w:t>
            </w:r>
            <w:proofErr w:type="spellStart"/>
            <w:r w:rsidRPr="00E02D22">
              <w:rPr>
                <w:sz w:val="18"/>
              </w:rPr>
              <w:t>Amonatbank</w:t>
            </w:r>
            <w:proofErr w:type="spellEnd"/>
            <w:r w:rsidRPr="00E02D22">
              <w:rPr>
                <w:sz w:val="18"/>
              </w:rPr>
              <w:t xml:space="preserve">"    </w:t>
            </w:r>
          </w:p>
        </w:tc>
      </w:tr>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Bank address:</w:t>
            </w:r>
          </w:p>
        </w:tc>
        <w:tc>
          <w:tcPr>
            <w:tcW w:w="6945" w:type="dxa"/>
          </w:tcPr>
          <w:p w:rsidR="00ED631A" w:rsidRPr="00E02D22" w:rsidRDefault="00ED631A" w:rsidP="00ED631A">
            <w:pPr>
              <w:pStyle w:val="a3"/>
              <w:spacing w:before="0" w:after="0"/>
              <w:ind w:left="0"/>
              <w:rPr>
                <w:sz w:val="18"/>
              </w:rPr>
            </w:pPr>
            <w:r w:rsidRPr="00E02D22">
              <w:rPr>
                <w:sz w:val="18"/>
              </w:rPr>
              <w:t xml:space="preserve">24, </w:t>
            </w:r>
            <w:proofErr w:type="spellStart"/>
            <w:r w:rsidRPr="00E02D22">
              <w:rPr>
                <w:sz w:val="18"/>
              </w:rPr>
              <w:t>Lohuti</w:t>
            </w:r>
            <w:proofErr w:type="spellEnd"/>
            <w:r w:rsidRPr="00E02D22">
              <w:rPr>
                <w:sz w:val="18"/>
              </w:rPr>
              <w:t xml:space="preserve"> Str. Dushanbe, Tajikistan</w:t>
            </w:r>
          </w:p>
        </w:tc>
      </w:tr>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MFO:</w:t>
            </w:r>
          </w:p>
        </w:tc>
        <w:tc>
          <w:tcPr>
            <w:tcW w:w="6945" w:type="dxa"/>
          </w:tcPr>
          <w:p w:rsidR="00ED631A" w:rsidRPr="00E02D22" w:rsidRDefault="00ED631A" w:rsidP="00ED631A">
            <w:pPr>
              <w:pStyle w:val="a3"/>
              <w:spacing w:before="0" w:after="0"/>
              <w:ind w:left="0"/>
              <w:rPr>
                <w:sz w:val="18"/>
              </w:rPr>
            </w:pPr>
            <w:r w:rsidRPr="00E02D22">
              <w:rPr>
                <w:sz w:val="18"/>
              </w:rPr>
              <w:t xml:space="preserve">350101626   </w:t>
            </w:r>
          </w:p>
        </w:tc>
      </w:tr>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Corresponding account:</w:t>
            </w:r>
          </w:p>
        </w:tc>
        <w:tc>
          <w:tcPr>
            <w:tcW w:w="6945" w:type="dxa"/>
          </w:tcPr>
          <w:p w:rsidR="00ED631A" w:rsidRPr="00E02D22" w:rsidRDefault="00ED631A" w:rsidP="00ED631A">
            <w:pPr>
              <w:pStyle w:val="a3"/>
              <w:spacing w:before="0" w:after="0"/>
              <w:ind w:left="0"/>
              <w:rPr>
                <w:sz w:val="18"/>
              </w:rPr>
            </w:pPr>
            <w:r w:rsidRPr="00E02D22">
              <w:rPr>
                <w:sz w:val="18"/>
              </w:rPr>
              <w:t>20402972316264</w:t>
            </w:r>
          </w:p>
        </w:tc>
      </w:tr>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Tax Identification Number:</w:t>
            </w:r>
          </w:p>
        </w:tc>
        <w:tc>
          <w:tcPr>
            <w:tcW w:w="6945" w:type="dxa"/>
          </w:tcPr>
          <w:p w:rsidR="00ED631A" w:rsidRPr="00E02D22" w:rsidRDefault="00ED631A" w:rsidP="00ED631A">
            <w:pPr>
              <w:pStyle w:val="a3"/>
              <w:spacing w:before="0" w:after="0"/>
              <w:ind w:left="0"/>
              <w:rPr>
                <w:sz w:val="18"/>
              </w:rPr>
            </w:pPr>
            <w:r w:rsidRPr="00E02D22">
              <w:rPr>
                <w:sz w:val="18"/>
              </w:rPr>
              <w:t>040000011</w:t>
            </w:r>
          </w:p>
        </w:tc>
      </w:tr>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Beneficiary Account:</w:t>
            </w:r>
          </w:p>
        </w:tc>
        <w:tc>
          <w:tcPr>
            <w:tcW w:w="6945" w:type="dxa"/>
          </w:tcPr>
          <w:p w:rsidR="00ED631A" w:rsidRPr="00E02D22" w:rsidRDefault="00ED631A" w:rsidP="00ED631A">
            <w:pPr>
              <w:pStyle w:val="a3"/>
              <w:spacing w:before="0" w:after="0"/>
              <w:ind w:left="0"/>
              <w:rPr>
                <w:sz w:val="18"/>
              </w:rPr>
            </w:pPr>
            <w:r w:rsidRPr="00E02D22">
              <w:rPr>
                <w:sz w:val="18"/>
              </w:rPr>
              <w:t>20202972700469101000</w:t>
            </w:r>
          </w:p>
        </w:tc>
      </w:tr>
      <w:tr w:rsidR="00ED631A" w:rsidRPr="00E02D22" w:rsidTr="0037495F">
        <w:tc>
          <w:tcPr>
            <w:tcW w:w="2552" w:type="dxa"/>
          </w:tcPr>
          <w:p w:rsidR="00ED631A" w:rsidRPr="00E02D22" w:rsidRDefault="00ED631A" w:rsidP="00596967">
            <w:pPr>
              <w:pStyle w:val="a3"/>
              <w:spacing w:before="0" w:after="0"/>
              <w:ind w:left="0"/>
              <w:jc w:val="left"/>
              <w:rPr>
                <w:sz w:val="18"/>
              </w:rPr>
            </w:pPr>
            <w:r w:rsidRPr="00E02D22">
              <w:rPr>
                <w:sz w:val="18"/>
              </w:rPr>
              <w:t>Beneficiary:</w:t>
            </w:r>
          </w:p>
        </w:tc>
        <w:tc>
          <w:tcPr>
            <w:tcW w:w="6945" w:type="dxa"/>
          </w:tcPr>
          <w:p w:rsidR="00ED631A" w:rsidRPr="00E02D22" w:rsidRDefault="00ED631A" w:rsidP="00ED631A">
            <w:pPr>
              <w:pStyle w:val="a3"/>
              <w:spacing w:before="0" w:after="0"/>
              <w:ind w:left="0"/>
              <w:rPr>
                <w:sz w:val="18"/>
              </w:rPr>
            </w:pPr>
            <w:r w:rsidRPr="00E02D22">
              <w:rPr>
                <w:sz w:val="18"/>
              </w:rPr>
              <w:t>OJSC “</w:t>
            </w:r>
            <w:proofErr w:type="spellStart"/>
            <w:r w:rsidRPr="00E02D22">
              <w:rPr>
                <w:sz w:val="18"/>
              </w:rPr>
              <w:t>Barqi</w:t>
            </w:r>
            <w:proofErr w:type="spellEnd"/>
            <w:r w:rsidRPr="00E02D22">
              <w:rPr>
                <w:sz w:val="18"/>
              </w:rPr>
              <w:t xml:space="preserve"> </w:t>
            </w:r>
            <w:proofErr w:type="spellStart"/>
            <w:r w:rsidRPr="00E02D22">
              <w:rPr>
                <w:sz w:val="18"/>
              </w:rPr>
              <w:t>Tojik</w:t>
            </w:r>
            <w:proofErr w:type="spellEnd"/>
            <w:r w:rsidRPr="00E02D22">
              <w:rPr>
                <w:sz w:val="18"/>
              </w:rPr>
              <w:t>”.</w:t>
            </w:r>
          </w:p>
        </w:tc>
      </w:tr>
    </w:tbl>
    <w:p w:rsidR="00ED631A" w:rsidRPr="00E02D22" w:rsidRDefault="00ED631A" w:rsidP="00596967">
      <w:pPr>
        <w:pStyle w:val="a3"/>
        <w:spacing w:before="120" w:after="0"/>
        <w:ind w:left="284"/>
        <w:rPr>
          <w:sz w:val="18"/>
        </w:rPr>
      </w:pPr>
      <w:r w:rsidRPr="00E02D22">
        <w:rPr>
          <w:sz w:val="18"/>
        </w:rPr>
        <w:t>Bank details for payments in US Dollars</w:t>
      </w:r>
    </w:p>
    <w:tbl>
      <w:tblPr>
        <w:tblStyle w:val="a5"/>
        <w:tblW w:w="9497" w:type="dxa"/>
        <w:tblInd w:w="279" w:type="dxa"/>
        <w:tblLook w:val="04A0" w:firstRow="1" w:lastRow="0" w:firstColumn="1" w:lastColumn="0" w:noHBand="0" w:noVBand="1"/>
      </w:tblPr>
      <w:tblGrid>
        <w:gridCol w:w="2552"/>
        <w:gridCol w:w="6945"/>
      </w:tblGrid>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Intermediary bank:</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JP MORGAN CHASE BANK</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address:</w:t>
            </w:r>
          </w:p>
        </w:tc>
        <w:tc>
          <w:tcPr>
            <w:tcW w:w="6945" w:type="dxa"/>
            <w:noWrap/>
            <w:hideMark/>
          </w:tcPr>
          <w:p w:rsidR="00ED631A" w:rsidRPr="00E02D22" w:rsidRDefault="005D0313" w:rsidP="00ED631A">
            <w:pPr>
              <w:spacing w:line="240" w:lineRule="auto"/>
              <w:jc w:val="both"/>
              <w:rPr>
                <w:rFonts w:cs="Arial"/>
                <w:color w:val="000000"/>
                <w:sz w:val="18"/>
                <w:lang w:val="ru-RU" w:eastAsia="ru-RU"/>
              </w:rPr>
            </w:pPr>
            <w:r w:rsidRPr="00E02D22">
              <w:rPr>
                <w:rFonts w:cs="Arial"/>
                <w:color w:val="000000"/>
                <w:sz w:val="18"/>
                <w:lang w:eastAsia="ru-RU"/>
              </w:rPr>
              <w:t>New York</w:t>
            </w:r>
            <w:r w:rsidR="00ED631A" w:rsidRPr="00E02D22">
              <w:rPr>
                <w:rFonts w:cs="Arial"/>
                <w:color w:val="000000"/>
                <w:sz w:val="18"/>
                <w:lang w:eastAsia="ru-RU"/>
              </w:rPr>
              <w:t>, NY US</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SWIFT:</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CHASUS33</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 xml:space="preserve">Bank correspondent:  </w:t>
            </w:r>
          </w:p>
        </w:tc>
        <w:tc>
          <w:tcPr>
            <w:tcW w:w="6945" w:type="dxa"/>
            <w:noWrap/>
            <w:hideMark/>
          </w:tcPr>
          <w:p w:rsidR="00ED631A" w:rsidRPr="00E02D22" w:rsidRDefault="005D0313" w:rsidP="00ED631A">
            <w:pPr>
              <w:spacing w:line="240" w:lineRule="auto"/>
              <w:jc w:val="both"/>
              <w:rPr>
                <w:rFonts w:cs="Arial"/>
                <w:color w:val="000000"/>
                <w:sz w:val="18"/>
                <w:lang w:eastAsia="ru-RU"/>
              </w:rPr>
            </w:pPr>
            <w:r w:rsidRPr="00E02D22">
              <w:rPr>
                <w:rFonts w:cs="Arial"/>
                <w:color w:val="000000"/>
                <w:sz w:val="18"/>
                <w:lang w:eastAsia="ru-RU"/>
              </w:rPr>
              <w:t>National Bank for Foreign Economic Activity of the Republic of Uzbekistan</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address:</w:t>
            </w:r>
          </w:p>
        </w:tc>
        <w:tc>
          <w:tcPr>
            <w:tcW w:w="6945" w:type="dxa"/>
            <w:noWrap/>
            <w:hideMark/>
          </w:tcPr>
          <w:p w:rsidR="00ED631A" w:rsidRPr="00E02D22" w:rsidRDefault="005D0313" w:rsidP="00ED631A">
            <w:pPr>
              <w:spacing w:line="240" w:lineRule="auto"/>
              <w:jc w:val="both"/>
              <w:rPr>
                <w:rFonts w:cs="Arial"/>
                <w:color w:val="000000"/>
                <w:sz w:val="18"/>
                <w:lang w:val="ru-RU" w:eastAsia="ru-RU"/>
              </w:rPr>
            </w:pPr>
            <w:r w:rsidRPr="00E02D22">
              <w:rPr>
                <w:rFonts w:cs="Arial"/>
                <w:color w:val="000000"/>
                <w:sz w:val="18"/>
                <w:lang w:eastAsia="ru-RU"/>
              </w:rPr>
              <w:t>Uzbekistan</w:t>
            </w:r>
            <w:r w:rsidR="00ED631A" w:rsidRPr="00E02D22">
              <w:rPr>
                <w:rFonts w:cs="Arial"/>
                <w:color w:val="000000"/>
                <w:sz w:val="18"/>
                <w:lang w:eastAsia="ru-RU"/>
              </w:rPr>
              <w:t>, UZ</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SWIFT:</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NBFAUZ2X</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Beneficiary bank:</w:t>
            </w:r>
          </w:p>
        </w:tc>
        <w:tc>
          <w:tcPr>
            <w:tcW w:w="6945" w:type="dxa"/>
            <w:noWrap/>
            <w:hideMark/>
          </w:tcPr>
          <w:p w:rsidR="00ED631A" w:rsidRPr="00E02D22" w:rsidRDefault="005D0313" w:rsidP="00ED631A">
            <w:pPr>
              <w:spacing w:line="240" w:lineRule="auto"/>
              <w:jc w:val="both"/>
              <w:rPr>
                <w:rFonts w:cs="Arial"/>
                <w:color w:val="000000"/>
                <w:sz w:val="18"/>
                <w:lang w:eastAsia="ru-RU"/>
              </w:rPr>
            </w:pPr>
            <w:r w:rsidRPr="00E02D22">
              <w:rPr>
                <w:rFonts w:cs="Arial"/>
                <w:color w:val="000000"/>
                <w:sz w:val="18"/>
                <w:lang w:eastAsia="ru-RU"/>
              </w:rPr>
              <w:t>SUE Savings Bank of the Republic Tajikistan "</w:t>
            </w:r>
            <w:proofErr w:type="spellStart"/>
            <w:r w:rsidRPr="00E02D22">
              <w:rPr>
                <w:rFonts w:cs="Arial"/>
                <w:color w:val="000000"/>
                <w:sz w:val="18"/>
                <w:lang w:eastAsia="ru-RU"/>
              </w:rPr>
              <w:t>Amonatbank</w:t>
            </w:r>
            <w:proofErr w:type="spellEnd"/>
            <w:r w:rsidRPr="00E02D22">
              <w:rPr>
                <w:rFonts w:cs="Arial"/>
                <w:color w:val="1F1F1F"/>
                <w:szCs w:val="22"/>
                <w:lang w:eastAsia="ru-RU"/>
              </w:rPr>
              <w:t>"</w:t>
            </w:r>
            <w:r w:rsidRPr="00E02D22">
              <w:rPr>
                <w:rFonts w:cs="Arial"/>
                <w:color w:val="000000"/>
                <w:sz w:val="18"/>
                <w:lang w:eastAsia="ru-RU"/>
              </w:rPr>
              <w:t>    </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address:</w:t>
            </w:r>
          </w:p>
        </w:tc>
        <w:tc>
          <w:tcPr>
            <w:tcW w:w="6945" w:type="dxa"/>
            <w:noWrap/>
            <w:hideMark/>
          </w:tcPr>
          <w:p w:rsidR="00ED631A" w:rsidRPr="00E02D22" w:rsidRDefault="005D0313" w:rsidP="00ED631A">
            <w:pPr>
              <w:spacing w:line="240" w:lineRule="auto"/>
              <w:jc w:val="both"/>
              <w:rPr>
                <w:rFonts w:cs="Arial"/>
                <w:color w:val="000000"/>
                <w:sz w:val="18"/>
                <w:lang w:val="ru-RU" w:eastAsia="ru-RU"/>
              </w:rPr>
            </w:pPr>
            <w:r w:rsidRPr="00E02D22">
              <w:rPr>
                <w:rFonts w:cs="Arial"/>
                <w:color w:val="000000"/>
                <w:sz w:val="18"/>
                <w:lang w:eastAsia="ru-RU"/>
              </w:rPr>
              <w:t>Dushanbe, Tajikistan</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account:</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222222"/>
                <w:sz w:val="18"/>
                <w:shd w:val="clear" w:color="auto" w:fill="FFFFFF"/>
              </w:rPr>
              <w:t>21002840100090196001</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SWIFT:</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 xml:space="preserve">ASSETJ22 </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Beneficiary:</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OJSC «</w:t>
            </w:r>
            <w:proofErr w:type="spellStart"/>
            <w:r w:rsidRPr="00E02D22">
              <w:rPr>
                <w:rFonts w:cs="Arial"/>
                <w:color w:val="000000"/>
                <w:sz w:val="18"/>
                <w:lang w:eastAsia="ru-RU"/>
              </w:rPr>
              <w:t>Barqi</w:t>
            </w:r>
            <w:proofErr w:type="spellEnd"/>
            <w:r w:rsidRPr="00E02D22">
              <w:rPr>
                <w:rFonts w:cs="Arial"/>
                <w:color w:val="000000"/>
                <w:sz w:val="18"/>
                <w:lang w:eastAsia="ru-RU"/>
              </w:rPr>
              <w:t xml:space="preserve"> </w:t>
            </w:r>
            <w:proofErr w:type="spellStart"/>
            <w:r w:rsidRPr="00E02D22">
              <w:rPr>
                <w:rFonts w:cs="Arial"/>
                <w:color w:val="000000"/>
                <w:sz w:val="18"/>
                <w:lang w:eastAsia="ru-RU"/>
              </w:rPr>
              <w:t>Tojik</w:t>
            </w:r>
            <w:proofErr w:type="spellEnd"/>
            <w:r w:rsidRPr="00E02D22">
              <w:rPr>
                <w:rFonts w:cs="Arial"/>
                <w:color w:val="000000"/>
                <w:sz w:val="18"/>
                <w:lang w:eastAsia="ru-RU"/>
              </w:rPr>
              <w:t>”.</w:t>
            </w:r>
          </w:p>
        </w:tc>
      </w:tr>
      <w:tr w:rsidR="00ED631A" w:rsidRPr="00E02D22" w:rsidTr="0037495F">
        <w:trPr>
          <w:trHeight w:val="20"/>
        </w:trPr>
        <w:tc>
          <w:tcPr>
            <w:tcW w:w="2552"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 xml:space="preserve">Beneficiary account: </w:t>
            </w:r>
          </w:p>
        </w:tc>
        <w:tc>
          <w:tcPr>
            <w:tcW w:w="6945"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20206840400428101000.</w:t>
            </w:r>
          </w:p>
        </w:tc>
      </w:tr>
    </w:tbl>
    <w:p w:rsidR="00ED631A" w:rsidRPr="00E02D22" w:rsidRDefault="00ED631A" w:rsidP="0038789C">
      <w:pPr>
        <w:pStyle w:val="a3"/>
        <w:spacing w:before="120" w:after="0"/>
        <w:ind w:left="284"/>
        <w:rPr>
          <w:sz w:val="18"/>
        </w:rPr>
      </w:pPr>
      <w:r w:rsidRPr="00E02D22">
        <w:rPr>
          <w:sz w:val="18"/>
        </w:rPr>
        <w:t>Bank details for payments in Euros</w:t>
      </w:r>
    </w:p>
    <w:tbl>
      <w:tblPr>
        <w:tblStyle w:val="a5"/>
        <w:tblW w:w="9497" w:type="dxa"/>
        <w:tblInd w:w="279" w:type="dxa"/>
        <w:tblLook w:val="04A0" w:firstRow="1" w:lastRow="0" w:firstColumn="1" w:lastColumn="0" w:noHBand="0" w:noVBand="1"/>
      </w:tblPr>
      <w:tblGrid>
        <w:gridCol w:w="2490"/>
        <w:gridCol w:w="7007"/>
      </w:tblGrid>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 xml:space="preserve">Bank correspondent:  </w:t>
            </w:r>
          </w:p>
        </w:tc>
        <w:tc>
          <w:tcPr>
            <w:tcW w:w="7007" w:type="dxa"/>
            <w:noWrap/>
            <w:hideMark/>
          </w:tcPr>
          <w:p w:rsidR="00ED631A" w:rsidRPr="00E02D22" w:rsidRDefault="00733017" w:rsidP="00ED631A">
            <w:pPr>
              <w:spacing w:line="240" w:lineRule="auto"/>
              <w:jc w:val="both"/>
              <w:rPr>
                <w:rFonts w:cs="Arial"/>
                <w:color w:val="000000"/>
                <w:sz w:val="18"/>
                <w:lang w:eastAsia="ru-RU"/>
              </w:rPr>
            </w:pPr>
            <w:r w:rsidRPr="00E02D22">
              <w:rPr>
                <w:rFonts w:cs="Arial"/>
                <w:color w:val="000000"/>
                <w:sz w:val="18"/>
                <w:lang w:eastAsia="ru-RU"/>
              </w:rPr>
              <w:t>National Bank for Foreign Economic Activity of the Republic of Uzbekistan</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address:</w:t>
            </w:r>
          </w:p>
        </w:tc>
        <w:tc>
          <w:tcPr>
            <w:tcW w:w="7007" w:type="dxa"/>
            <w:noWrap/>
            <w:hideMark/>
          </w:tcPr>
          <w:p w:rsidR="00ED631A" w:rsidRPr="00E02D22" w:rsidRDefault="00733017" w:rsidP="00ED631A">
            <w:pPr>
              <w:spacing w:line="240" w:lineRule="auto"/>
              <w:jc w:val="both"/>
              <w:rPr>
                <w:rFonts w:cs="Arial"/>
                <w:color w:val="000000"/>
                <w:sz w:val="18"/>
                <w:lang w:val="ru-RU" w:eastAsia="ru-RU"/>
              </w:rPr>
            </w:pPr>
            <w:proofErr w:type="spellStart"/>
            <w:r w:rsidRPr="00E02D22">
              <w:rPr>
                <w:rFonts w:cs="Arial"/>
                <w:color w:val="000000"/>
                <w:sz w:val="18"/>
                <w:lang w:val="ru-RU" w:eastAsia="ru-RU"/>
              </w:rPr>
              <w:t>Uzbekistan</w:t>
            </w:r>
            <w:proofErr w:type="spellEnd"/>
            <w:r w:rsidRPr="00E02D22">
              <w:rPr>
                <w:rFonts w:cs="Arial"/>
                <w:color w:val="000000"/>
                <w:sz w:val="18"/>
                <w:lang w:val="ru-RU" w:eastAsia="ru-RU"/>
              </w:rPr>
              <w:t>, UZ</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SWIFT:</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val="ru-RU" w:eastAsia="ru-RU"/>
              </w:rPr>
              <w:t>NBFAUZ2X</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Beneficiary bank:</w:t>
            </w:r>
          </w:p>
        </w:tc>
        <w:tc>
          <w:tcPr>
            <w:tcW w:w="7007" w:type="dxa"/>
            <w:noWrap/>
            <w:hideMark/>
          </w:tcPr>
          <w:p w:rsidR="00ED631A" w:rsidRPr="00E02D22" w:rsidRDefault="0045429E" w:rsidP="00ED631A">
            <w:pPr>
              <w:spacing w:line="240" w:lineRule="auto"/>
              <w:jc w:val="both"/>
              <w:rPr>
                <w:rFonts w:cs="Arial"/>
                <w:color w:val="000000"/>
                <w:sz w:val="18"/>
                <w:lang w:eastAsia="ru-RU"/>
              </w:rPr>
            </w:pPr>
            <w:r w:rsidRPr="00E02D22">
              <w:rPr>
                <w:rFonts w:cs="Arial"/>
                <w:color w:val="000000"/>
                <w:sz w:val="18"/>
                <w:lang w:eastAsia="ru-RU"/>
              </w:rPr>
              <w:t>SUE Savings Bank of the Republic Tajikistan "</w:t>
            </w:r>
            <w:proofErr w:type="spellStart"/>
            <w:r w:rsidRPr="00E02D22">
              <w:rPr>
                <w:rFonts w:cs="Arial"/>
                <w:color w:val="000000"/>
                <w:sz w:val="18"/>
                <w:lang w:eastAsia="ru-RU"/>
              </w:rPr>
              <w:t>Amonatbank</w:t>
            </w:r>
            <w:proofErr w:type="spellEnd"/>
            <w:r w:rsidRPr="00E02D22">
              <w:rPr>
                <w:rFonts w:cs="Arial"/>
                <w:color w:val="000000"/>
                <w:sz w:val="18"/>
                <w:lang w:eastAsia="ru-RU"/>
              </w:rPr>
              <w:t xml:space="preserve">"    </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address:</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DUSHANBE, TAJIKISTAN</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account:</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222222"/>
                <w:sz w:val="18"/>
                <w:shd w:val="clear" w:color="auto" w:fill="FFFFFF"/>
              </w:rPr>
              <w:t>21002978900090196001</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SWIFT:</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ASSETJ22</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Bank address:</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 xml:space="preserve">24, </w:t>
            </w:r>
            <w:proofErr w:type="spellStart"/>
            <w:r w:rsidRPr="00E02D22">
              <w:rPr>
                <w:rFonts w:cs="Arial"/>
                <w:color w:val="000000"/>
                <w:sz w:val="18"/>
                <w:lang w:eastAsia="ru-RU"/>
              </w:rPr>
              <w:t>Lohuti</w:t>
            </w:r>
            <w:proofErr w:type="spellEnd"/>
            <w:r w:rsidRPr="00E02D22">
              <w:rPr>
                <w:rFonts w:cs="Arial"/>
                <w:color w:val="000000"/>
                <w:sz w:val="18"/>
                <w:lang w:eastAsia="ru-RU"/>
              </w:rPr>
              <w:t xml:space="preserve"> Str. Dushanbe, Tajikistan</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Beneficiary:</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OJSC «</w:t>
            </w:r>
            <w:proofErr w:type="spellStart"/>
            <w:r w:rsidRPr="00E02D22">
              <w:rPr>
                <w:rFonts w:cs="Arial"/>
                <w:color w:val="000000"/>
                <w:sz w:val="18"/>
                <w:lang w:eastAsia="ru-RU"/>
              </w:rPr>
              <w:t>Barqi</w:t>
            </w:r>
            <w:proofErr w:type="spellEnd"/>
            <w:r w:rsidRPr="00E02D22">
              <w:rPr>
                <w:rFonts w:cs="Arial"/>
                <w:color w:val="000000"/>
                <w:sz w:val="18"/>
                <w:lang w:eastAsia="ru-RU"/>
              </w:rPr>
              <w:t xml:space="preserve"> </w:t>
            </w:r>
            <w:proofErr w:type="spellStart"/>
            <w:r w:rsidRPr="00E02D22">
              <w:rPr>
                <w:rFonts w:cs="Arial"/>
                <w:color w:val="000000"/>
                <w:sz w:val="18"/>
                <w:lang w:eastAsia="ru-RU"/>
              </w:rPr>
              <w:t>Tojik</w:t>
            </w:r>
            <w:proofErr w:type="spellEnd"/>
            <w:r w:rsidRPr="00E02D22">
              <w:rPr>
                <w:rFonts w:cs="Arial"/>
                <w:color w:val="000000"/>
                <w:sz w:val="18"/>
                <w:lang w:eastAsia="ru-RU"/>
              </w:rPr>
              <w:t>”.</w:t>
            </w:r>
          </w:p>
        </w:tc>
      </w:tr>
      <w:tr w:rsidR="00ED631A" w:rsidRPr="00E02D22" w:rsidTr="0037495F">
        <w:trPr>
          <w:trHeight w:val="20"/>
        </w:trPr>
        <w:tc>
          <w:tcPr>
            <w:tcW w:w="2490"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 xml:space="preserve">Beneficiary account: </w:t>
            </w:r>
          </w:p>
        </w:tc>
        <w:tc>
          <w:tcPr>
            <w:tcW w:w="7007" w:type="dxa"/>
            <w:noWrap/>
            <w:hideMark/>
          </w:tcPr>
          <w:p w:rsidR="00ED631A" w:rsidRPr="00E02D22" w:rsidRDefault="00ED631A" w:rsidP="00ED631A">
            <w:pPr>
              <w:spacing w:line="240" w:lineRule="auto"/>
              <w:jc w:val="both"/>
              <w:rPr>
                <w:rFonts w:cs="Arial"/>
                <w:color w:val="000000"/>
                <w:sz w:val="18"/>
                <w:lang w:val="ru-RU" w:eastAsia="ru-RU"/>
              </w:rPr>
            </w:pPr>
            <w:r w:rsidRPr="00E02D22">
              <w:rPr>
                <w:rFonts w:cs="Arial"/>
                <w:color w:val="000000"/>
                <w:sz w:val="18"/>
                <w:lang w:eastAsia="ru-RU"/>
              </w:rPr>
              <w:t>20206978200176100000.</w:t>
            </w:r>
          </w:p>
        </w:tc>
      </w:tr>
    </w:tbl>
    <w:p w:rsidR="00ED631A" w:rsidRPr="00E02D22" w:rsidRDefault="00ED631A" w:rsidP="0003413C">
      <w:pPr>
        <w:pStyle w:val="a3"/>
        <w:spacing w:before="60" w:after="0"/>
        <w:ind w:left="284" w:hanging="284"/>
        <w:rPr>
          <w:sz w:val="18"/>
        </w:rPr>
      </w:pPr>
      <w:r w:rsidRPr="00E02D22">
        <w:rPr>
          <w:sz w:val="18"/>
        </w:rPr>
        <w:t>6.</w:t>
      </w:r>
      <w:r w:rsidRPr="00E02D22">
        <w:rPr>
          <w:sz w:val="18"/>
        </w:rPr>
        <w:tab/>
        <w:t xml:space="preserve">Bids must be delivered to the address below on or before </w:t>
      </w:r>
      <w:r w:rsidR="0003413C" w:rsidRPr="00E02D22">
        <w:rPr>
          <w:sz w:val="18"/>
        </w:rPr>
        <w:t>May</w:t>
      </w:r>
      <w:r w:rsidRPr="00E02D22">
        <w:rPr>
          <w:sz w:val="18"/>
        </w:rPr>
        <w:t xml:space="preserve"> </w:t>
      </w:r>
      <w:r w:rsidR="0003413C" w:rsidRPr="00E02D22">
        <w:rPr>
          <w:sz w:val="18"/>
        </w:rPr>
        <w:t>17</w:t>
      </w:r>
      <w:r w:rsidRPr="00E02D22">
        <w:rPr>
          <w:sz w:val="18"/>
        </w:rPr>
        <w:t>, 2024 at 1</w:t>
      </w:r>
      <w:r w:rsidR="0003413C" w:rsidRPr="00E02D22">
        <w:rPr>
          <w:sz w:val="18"/>
        </w:rPr>
        <w:t>5:</w:t>
      </w:r>
      <w:r w:rsidRPr="00E02D22">
        <w:rPr>
          <w:sz w:val="18"/>
        </w:rPr>
        <w:t xml:space="preserve">00 hours. Electronic Bidding will not be permitted. Late Bids will be rejected. Bids will be publicly opened in the presence of the Bidders’ designated representatives and anyone who chooses to attend at the address below on </w:t>
      </w:r>
      <w:r w:rsidR="0003413C" w:rsidRPr="00E02D22">
        <w:rPr>
          <w:sz w:val="18"/>
        </w:rPr>
        <w:t>May 17</w:t>
      </w:r>
      <w:r w:rsidRPr="00E02D22">
        <w:rPr>
          <w:sz w:val="18"/>
        </w:rPr>
        <w:t>, 2024 at 1</w:t>
      </w:r>
      <w:r w:rsidR="0003413C" w:rsidRPr="00E02D22">
        <w:rPr>
          <w:sz w:val="18"/>
        </w:rPr>
        <w:t>5:</w:t>
      </w:r>
      <w:r w:rsidRPr="00E02D22">
        <w:rPr>
          <w:sz w:val="18"/>
        </w:rPr>
        <w:t xml:space="preserve">00 hours. </w:t>
      </w:r>
    </w:p>
    <w:p w:rsidR="00ED631A" w:rsidRPr="00E02D22" w:rsidRDefault="00ED631A" w:rsidP="0003413C">
      <w:pPr>
        <w:pStyle w:val="a3"/>
        <w:spacing w:before="60" w:after="0"/>
        <w:ind w:left="284" w:hanging="284"/>
        <w:rPr>
          <w:sz w:val="18"/>
        </w:rPr>
      </w:pPr>
      <w:r w:rsidRPr="00E02D22">
        <w:rPr>
          <w:sz w:val="18"/>
        </w:rPr>
        <w:t>7.</w:t>
      </w:r>
      <w:r w:rsidRPr="00E02D22">
        <w:rPr>
          <w:sz w:val="18"/>
        </w:rPr>
        <w:tab/>
        <w:t>All Bids must be accompanied by a “Bid-</w:t>
      </w:r>
      <w:proofErr w:type="spellStart"/>
      <w:r w:rsidRPr="00E02D22">
        <w:rPr>
          <w:sz w:val="18"/>
        </w:rPr>
        <w:t>Securty</w:t>
      </w:r>
      <w:proofErr w:type="spellEnd"/>
      <w:r w:rsidRPr="00E02D22">
        <w:rPr>
          <w:sz w:val="18"/>
        </w:rPr>
        <w:t xml:space="preserve">”. </w:t>
      </w:r>
    </w:p>
    <w:p w:rsidR="00ED631A" w:rsidRPr="00E02D22" w:rsidRDefault="00ED631A" w:rsidP="0003413C">
      <w:pPr>
        <w:pStyle w:val="a3"/>
        <w:spacing w:before="60" w:after="0"/>
        <w:ind w:left="284" w:hanging="284"/>
        <w:rPr>
          <w:sz w:val="18"/>
        </w:rPr>
      </w:pPr>
      <w:r w:rsidRPr="00E02D22">
        <w:rPr>
          <w:sz w:val="18"/>
        </w:rPr>
        <w:t>8.</w:t>
      </w:r>
      <w:r w:rsidRPr="00E02D22">
        <w:rPr>
          <w:sz w:val="18"/>
        </w:rPr>
        <w:tab/>
        <w:t xml:space="preserve">The </w:t>
      </w:r>
      <w:proofErr w:type="gramStart"/>
      <w:r w:rsidRPr="00E02D22">
        <w:rPr>
          <w:sz w:val="18"/>
        </w:rPr>
        <w:t>address(</w:t>
      </w:r>
      <w:proofErr w:type="spellStart"/>
      <w:proofErr w:type="gramEnd"/>
      <w:r w:rsidRPr="00E02D22">
        <w:rPr>
          <w:sz w:val="18"/>
        </w:rPr>
        <w:t>es</w:t>
      </w:r>
      <w:proofErr w:type="spellEnd"/>
      <w:r w:rsidRPr="00E02D22">
        <w:rPr>
          <w:sz w:val="18"/>
        </w:rPr>
        <w:t>) referred to above is (are):</w:t>
      </w:r>
    </w:p>
    <w:tbl>
      <w:tblPr>
        <w:tblStyle w:val="a5"/>
        <w:tblW w:w="9497" w:type="dxa"/>
        <w:tblInd w:w="279" w:type="dxa"/>
        <w:tblLook w:val="04A0" w:firstRow="1" w:lastRow="0" w:firstColumn="1" w:lastColumn="0" w:noHBand="0" w:noVBand="1"/>
      </w:tblPr>
      <w:tblGrid>
        <w:gridCol w:w="2205"/>
        <w:gridCol w:w="7292"/>
      </w:tblGrid>
      <w:tr w:rsidR="00ED631A" w:rsidRPr="00E02D22" w:rsidTr="0037495F">
        <w:trPr>
          <w:cantSplit/>
        </w:trPr>
        <w:tc>
          <w:tcPr>
            <w:tcW w:w="2205" w:type="dxa"/>
          </w:tcPr>
          <w:p w:rsidR="00ED631A" w:rsidRPr="00E02D22" w:rsidRDefault="00ED631A" w:rsidP="00ED631A">
            <w:pPr>
              <w:pStyle w:val="a3"/>
              <w:spacing w:before="0" w:after="0"/>
              <w:ind w:left="0"/>
              <w:jc w:val="left"/>
              <w:rPr>
                <w:sz w:val="18"/>
              </w:rPr>
            </w:pPr>
            <w:r w:rsidRPr="00E02D22">
              <w:rPr>
                <w:sz w:val="18"/>
              </w:rPr>
              <w:t>For obtaining bidding documents</w:t>
            </w:r>
          </w:p>
        </w:tc>
        <w:tc>
          <w:tcPr>
            <w:tcW w:w="7292" w:type="dxa"/>
          </w:tcPr>
          <w:p w:rsidR="00ED631A" w:rsidRPr="00E02D22" w:rsidRDefault="00ED631A" w:rsidP="00C65295">
            <w:pPr>
              <w:pStyle w:val="a3"/>
              <w:spacing w:before="0" w:after="0"/>
              <w:ind w:left="0"/>
              <w:rPr>
                <w:sz w:val="18"/>
              </w:rPr>
            </w:pPr>
            <w:r w:rsidRPr="00E02D22">
              <w:rPr>
                <w:sz w:val="18"/>
              </w:rPr>
              <w:t>OJSC “</w:t>
            </w:r>
            <w:proofErr w:type="spellStart"/>
            <w:r w:rsidRPr="00E02D22">
              <w:rPr>
                <w:sz w:val="18"/>
              </w:rPr>
              <w:t>Barqi</w:t>
            </w:r>
            <w:proofErr w:type="spellEnd"/>
            <w:r w:rsidRPr="00E02D22">
              <w:rPr>
                <w:sz w:val="18"/>
              </w:rPr>
              <w:t xml:space="preserve"> </w:t>
            </w:r>
            <w:proofErr w:type="spellStart"/>
            <w:r w:rsidRPr="00E02D22">
              <w:rPr>
                <w:sz w:val="18"/>
              </w:rPr>
              <w:t>Tojik</w:t>
            </w:r>
            <w:proofErr w:type="spellEnd"/>
            <w:r w:rsidRPr="00E02D22">
              <w:rPr>
                <w:sz w:val="18"/>
              </w:rPr>
              <w:t xml:space="preserve">”, Mr. </w:t>
            </w:r>
            <w:proofErr w:type="spellStart"/>
            <w:r w:rsidRPr="00E02D22">
              <w:rPr>
                <w:sz w:val="18"/>
              </w:rPr>
              <w:t>Habibov</w:t>
            </w:r>
            <w:proofErr w:type="spellEnd"/>
            <w:r w:rsidRPr="00E02D22">
              <w:rPr>
                <w:sz w:val="18"/>
              </w:rPr>
              <w:t xml:space="preserve"> </w:t>
            </w:r>
            <w:proofErr w:type="spellStart"/>
            <w:r w:rsidRPr="00E02D22">
              <w:rPr>
                <w:sz w:val="18"/>
              </w:rPr>
              <w:t>Ubaidullo</w:t>
            </w:r>
            <w:proofErr w:type="spellEnd"/>
            <w:r w:rsidRPr="00E02D22">
              <w:rPr>
                <w:sz w:val="18"/>
              </w:rPr>
              <w:t>, Executive Director of PRG “Energy Loss Reduction”</w:t>
            </w:r>
            <w:r w:rsidR="0038789C" w:rsidRPr="00E02D22">
              <w:rPr>
                <w:sz w:val="18"/>
              </w:rPr>
              <w:t xml:space="preserve"> </w:t>
            </w:r>
            <w:r w:rsidRPr="00E02D22">
              <w:rPr>
                <w:sz w:val="18"/>
              </w:rPr>
              <w:t xml:space="preserve">734026, Dushanbe, 64 </w:t>
            </w:r>
            <w:proofErr w:type="spellStart"/>
            <w:r w:rsidRPr="00E02D22">
              <w:rPr>
                <w:sz w:val="18"/>
              </w:rPr>
              <w:t>Ismoili</w:t>
            </w:r>
            <w:proofErr w:type="spellEnd"/>
            <w:r w:rsidRPr="00E02D22">
              <w:rPr>
                <w:sz w:val="18"/>
              </w:rPr>
              <w:t xml:space="preserve"> </w:t>
            </w:r>
            <w:proofErr w:type="spellStart"/>
            <w:r w:rsidRPr="00E02D22">
              <w:rPr>
                <w:sz w:val="18"/>
              </w:rPr>
              <w:t>Somoni</w:t>
            </w:r>
            <w:proofErr w:type="spellEnd"/>
            <w:r w:rsidRPr="00E02D22">
              <w:rPr>
                <w:sz w:val="18"/>
              </w:rPr>
              <w:t xml:space="preserve"> avenue, Tajikistan</w:t>
            </w:r>
            <w:r w:rsidR="0038789C" w:rsidRPr="00E02D22">
              <w:rPr>
                <w:sz w:val="18"/>
              </w:rPr>
              <w:t xml:space="preserve"> </w:t>
            </w:r>
            <w:r w:rsidRPr="00E02D22">
              <w:rPr>
                <w:sz w:val="18"/>
              </w:rPr>
              <w:t>Room 302, email: elrpbt@gmail.com</w:t>
            </w:r>
          </w:p>
        </w:tc>
      </w:tr>
      <w:tr w:rsidR="00ED631A" w:rsidRPr="00E02D22" w:rsidTr="0037495F">
        <w:trPr>
          <w:cantSplit/>
        </w:trPr>
        <w:tc>
          <w:tcPr>
            <w:tcW w:w="2205" w:type="dxa"/>
          </w:tcPr>
          <w:p w:rsidR="00ED631A" w:rsidRPr="00E02D22" w:rsidRDefault="00ED631A" w:rsidP="00ED631A">
            <w:pPr>
              <w:pStyle w:val="a3"/>
              <w:spacing w:before="0" w:after="0"/>
              <w:ind w:left="0"/>
              <w:jc w:val="left"/>
              <w:rPr>
                <w:sz w:val="18"/>
              </w:rPr>
            </w:pPr>
            <w:r w:rsidRPr="00E02D22">
              <w:rPr>
                <w:sz w:val="18"/>
              </w:rPr>
              <w:t>For delivering Bids and Bid opening</w:t>
            </w:r>
          </w:p>
        </w:tc>
        <w:tc>
          <w:tcPr>
            <w:tcW w:w="7292" w:type="dxa"/>
          </w:tcPr>
          <w:p w:rsidR="00ED631A" w:rsidRPr="00E02D22" w:rsidRDefault="00ED631A" w:rsidP="00C65295">
            <w:pPr>
              <w:pStyle w:val="a3"/>
              <w:spacing w:before="0" w:after="0"/>
              <w:ind w:left="0"/>
              <w:rPr>
                <w:sz w:val="18"/>
              </w:rPr>
            </w:pPr>
            <w:r w:rsidRPr="00E02D22">
              <w:rPr>
                <w:sz w:val="18"/>
              </w:rPr>
              <w:t>State Committee on Investment and state property management of the Republic of Tajikistan</w:t>
            </w:r>
            <w:r w:rsidR="00C65295" w:rsidRPr="00E02D22">
              <w:rPr>
                <w:sz w:val="18"/>
              </w:rPr>
              <w:t xml:space="preserve">, </w:t>
            </w:r>
            <w:r w:rsidRPr="00E02D22">
              <w:rPr>
                <w:sz w:val="18"/>
              </w:rPr>
              <w:t xml:space="preserve">734000, </w:t>
            </w:r>
            <w:r w:rsidR="00C65295" w:rsidRPr="00E02D22">
              <w:rPr>
                <w:sz w:val="18"/>
              </w:rPr>
              <w:t>Dushanbe</w:t>
            </w:r>
            <w:r w:rsidRPr="00E02D22">
              <w:rPr>
                <w:sz w:val="18"/>
              </w:rPr>
              <w:t xml:space="preserve">, 27, </w:t>
            </w:r>
            <w:proofErr w:type="spellStart"/>
            <w:r w:rsidR="00C65295" w:rsidRPr="00E02D22">
              <w:rPr>
                <w:sz w:val="18"/>
              </w:rPr>
              <w:t>Shotemur</w:t>
            </w:r>
            <w:proofErr w:type="spellEnd"/>
            <w:r w:rsidR="00C65295" w:rsidRPr="00E02D22">
              <w:rPr>
                <w:sz w:val="18"/>
              </w:rPr>
              <w:t xml:space="preserve"> Str</w:t>
            </w:r>
            <w:r w:rsidRPr="00E02D22">
              <w:rPr>
                <w:sz w:val="18"/>
              </w:rPr>
              <w:t>. Tajikistan</w:t>
            </w:r>
            <w:r w:rsidR="00C65295" w:rsidRPr="00E02D22">
              <w:rPr>
                <w:sz w:val="18"/>
              </w:rPr>
              <w:t xml:space="preserve">, </w:t>
            </w:r>
            <w:r w:rsidRPr="00E02D22">
              <w:rPr>
                <w:sz w:val="18"/>
              </w:rPr>
              <w:t>Room 22</w:t>
            </w:r>
          </w:p>
        </w:tc>
      </w:tr>
    </w:tbl>
    <w:p w:rsidR="004D07B0" w:rsidRPr="00E02D22" w:rsidRDefault="004D07B0" w:rsidP="00ED631A">
      <w:pPr>
        <w:spacing w:line="240" w:lineRule="auto"/>
        <w:rPr>
          <w:sz w:val="18"/>
        </w:rPr>
      </w:pPr>
    </w:p>
    <w:sectPr w:rsidR="004D07B0" w:rsidRPr="00E02D22" w:rsidSect="00E02D22">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00C0017"/>
    <w:lvl w:ilvl="0">
      <w:start w:val="1"/>
      <w:numFmt w:val="lowerLetter"/>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1A"/>
    <w:rsid w:val="0003413C"/>
    <w:rsid w:val="0009733A"/>
    <w:rsid w:val="00345CF8"/>
    <w:rsid w:val="0037495F"/>
    <w:rsid w:val="0038789C"/>
    <w:rsid w:val="0045429E"/>
    <w:rsid w:val="004D07B0"/>
    <w:rsid w:val="00596967"/>
    <w:rsid w:val="005D0313"/>
    <w:rsid w:val="00733017"/>
    <w:rsid w:val="008569AA"/>
    <w:rsid w:val="00A745B8"/>
    <w:rsid w:val="00C65295"/>
    <w:rsid w:val="00E02D22"/>
    <w:rsid w:val="00ED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4AF6-E5E1-43B0-BEE5-62C4515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D631A"/>
    <w:pPr>
      <w:spacing w:after="0" w:line="300" w:lineRule="atLeast"/>
    </w:pPr>
    <w:rPr>
      <w:rFonts w:ascii="Arial" w:eastAsia="Times New Roman" w:hAnsi="Arial" w:cs="Times New Roman"/>
      <w:sz w:val="20"/>
      <w:szCs w:val="20"/>
      <w:lang w:val="en-US" w:eastAsia="de-CH"/>
    </w:rPr>
  </w:style>
  <w:style w:type="paragraph" w:styleId="1">
    <w:name w:val="heading 1"/>
    <w:basedOn w:val="a"/>
    <w:next w:val="a"/>
    <w:link w:val="10"/>
    <w:uiPriority w:val="9"/>
    <w:qFormat/>
    <w:rsid w:val="00ED63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ED631A"/>
    <w:pPr>
      <w:spacing w:before="180" w:after="60" w:line="240" w:lineRule="auto"/>
      <w:ind w:left="851"/>
      <w:jc w:val="both"/>
    </w:pPr>
  </w:style>
  <w:style w:type="character" w:customStyle="1" w:styleId="a4">
    <w:name w:val="Основной текст Знак"/>
    <w:basedOn w:val="a0"/>
    <w:link w:val="a3"/>
    <w:rsid w:val="00ED631A"/>
    <w:rPr>
      <w:rFonts w:ascii="Arial" w:eastAsia="Times New Roman" w:hAnsi="Arial" w:cs="Times New Roman"/>
      <w:sz w:val="20"/>
      <w:szCs w:val="20"/>
      <w:lang w:val="en-US" w:eastAsia="de-CH"/>
    </w:rPr>
  </w:style>
  <w:style w:type="table" w:styleId="a5">
    <w:name w:val="Table Grid"/>
    <w:basedOn w:val="a1"/>
    <w:rsid w:val="00ED631A"/>
    <w:pPr>
      <w:spacing w:after="0" w:line="240" w:lineRule="auto"/>
    </w:pPr>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0">
    <w:name w:val="Titre 0"/>
    <w:basedOn w:val="1"/>
    <w:link w:val="Titre0Car"/>
    <w:qFormat/>
    <w:rsid w:val="00ED631A"/>
    <w:pPr>
      <w:keepNext w:val="0"/>
      <w:keepLines w:val="0"/>
      <w:pageBreakBefore/>
      <w:spacing w:before="0" w:after="120" w:line="240" w:lineRule="auto"/>
    </w:pPr>
    <w:rPr>
      <w:rFonts w:ascii="Arial" w:eastAsia="Times New Roman" w:hAnsi="Arial" w:cs="Times New Roman"/>
      <w:b/>
      <w:noProof/>
      <w:color w:val="auto"/>
      <w:kern w:val="24"/>
    </w:rPr>
  </w:style>
  <w:style w:type="character" w:customStyle="1" w:styleId="Titre0Car">
    <w:name w:val="Titre 0 Car"/>
    <w:basedOn w:val="a0"/>
    <w:link w:val="Titre0"/>
    <w:rsid w:val="00ED631A"/>
    <w:rPr>
      <w:rFonts w:ascii="Arial" w:eastAsia="Times New Roman" w:hAnsi="Arial" w:cs="Times New Roman"/>
      <w:b/>
      <w:noProof/>
      <w:kern w:val="24"/>
      <w:sz w:val="32"/>
      <w:szCs w:val="32"/>
      <w:lang w:val="en-US" w:eastAsia="de-CH"/>
    </w:rPr>
  </w:style>
  <w:style w:type="character" w:customStyle="1" w:styleId="10">
    <w:name w:val="Заголовок 1 Знак"/>
    <w:basedOn w:val="a0"/>
    <w:link w:val="1"/>
    <w:uiPriority w:val="9"/>
    <w:rsid w:val="00ED631A"/>
    <w:rPr>
      <w:rFonts w:asciiTheme="majorHAnsi" w:eastAsiaTheme="majorEastAsia" w:hAnsiTheme="majorHAnsi" w:cstheme="majorBidi"/>
      <w:color w:val="2E74B5" w:themeColor="accent1" w:themeShade="BF"/>
      <w:sz w:val="32"/>
      <w:szCs w:val="32"/>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2024-04-15T04:21:00Z</dcterms:created>
  <dcterms:modified xsi:type="dcterms:W3CDTF">2024-04-15T04:39:00Z</dcterms:modified>
</cp:coreProperties>
</file>