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DF3D0">
      <w:pPr>
        <w:shd w:val="clear" w:color="auto" w:fill="FFFFFF"/>
        <w:spacing w:after="150" w:line="240" w:lineRule="auto"/>
        <w:jc w:val="center"/>
        <w:rPr>
          <w:rFonts w:ascii="Arial" w:hAnsi="Arial" w:eastAsia="Times New Roman" w:cs="Arial"/>
          <w:color w:val="333333"/>
          <w:kern w:val="0"/>
          <w:sz w:val="20"/>
          <w:szCs w:val="20"/>
          <w14:ligatures w14:val="none"/>
        </w:rPr>
      </w:pPr>
      <w:r>
        <w:rPr>
          <w:rFonts w:ascii="Arial" w:hAnsi="Arial" w:eastAsia="Times New Roman" w:cs="Arial"/>
          <w:b/>
          <w:bCs/>
          <w:color w:val="333333"/>
          <w:kern w:val="0"/>
          <w:sz w:val="20"/>
          <w:szCs w:val="20"/>
          <w14:ligatures w14:val="none"/>
        </w:rPr>
        <w:t>Specific Procurement Notice</w:t>
      </w:r>
    </w:p>
    <w:p w14:paraId="4E6F2297">
      <w:pPr>
        <w:shd w:val="clear" w:color="auto" w:fill="FFFFFF"/>
        <w:spacing w:after="150" w:line="240" w:lineRule="auto"/>
        <w:jc w:val="center"/>
        <w:rPr>
          <w:rFonts w:ascii="Arial" w:hAnsi="Arial" w:eastAsia="Times New Roman" w:cs="Arial"/>
          <w:color w:val="333333"/>
          <w:kern w:val="0"/>
          <w:sz w:val="20"/>
          <w:szCs w:val="20"/>
          <w14:ligatures w14:val="none"/>
        </w:rPr>
      </w:pPr>
      <w:r>
        <w:rPr>
          <w:rFonts w:ascii="Arial" w:hAnsi="Arial" w:eastAsia="Times New Roman" w:cs="Arial"/>
          <w:b/>
          <w:bCs/>
          <w:color w:val="333333"/>
          <w:kern w:val="0"/>
          <w:sz w:val="20"/>
          <w:szCs w:val="20"/>
          <w14:ligatures w14:val="none"/>
        </w:rPr>
        <w:t>Request for Bids/Goods</w:t>
      </w:r>
    </w:p>
    <w:p w14:paraId="188EE542">
      <w:pPr>
        <w:shd w:val="clear" w:color="auto" w:fill="FFFFFF"/>
        <w:spacing w:after="150" w:line="240" w:lineRule="auto"/>
        <w:jc w:val="center"/>
        <w:rPr>
          <w:rFonts w:ascii="Arial" w:hAnsi="Arial" w:eastAsia="Times New Roman" w:cs="Arial"/>
          <w:color w:val="333333"/>
          <w:kern w:val="0"/>
          <w:sz w:val="20"/>
          <w:szCs w:val="20"/>
          <w14:ligatures w14:val="none"/>
        </w:rPr>
      </w:pPr>
      <w:r>
        <w:rPr>
          <w:rFonts w:ascii="Arial" w:hAnsi="Arial" w:eastAsia="Times New Roman" w:cs="Arial"/>
          <w:b/>
          <w:bCs/>
          <w:color w:val="333333"/>
          <w:kern w:val="0"/>
          <w:sz w:val="20"/>
          <w:szCs w:val="20"/>
          <w14:ligatures w14:val="none"/>
        </w:rPr>
        <w:t>(Two-Envelope Bidding Process with three LOTs)</w:t>
      </w:r>
    </w:p>
    <w:p w14:paraId="3CFDC5C1">
      <w:pPr>
        <w:shd w:val="clear" w:color="auto" w:fill="FFFFFF"/>
        <w:spacing w:after="150" w:line="240" w:lineRule="auto"/>
        <w:rPr>
          <w:rFonts w:ascii="Arial" w:hAnsi="Arial" w:eastAsia="Times New Roman" w:cs="Arial"/>
          <w:color w:val="333333"/>
          <w:kern w:val="0"/>
          <w:sz w:val="20"/>
          <w:szCs w:val="20"/>
          <w14:ligatures w14:val="none"/>
        </w:rPr>
      </w:pPr>
      <w:r>
        <w:rPr>
          <w:rFonts w:ascii="Arial" w:hAnsi="Arial" w:eastAsia="Times New Roman" w:cs="Arial"/>
          <w:color w:val="333333"/>
          <w:kern w:val="0"/>
          <w:sz w:val="20"/>
          <w:szCs w:val="20"/>
          <w14:ligatures w14:val="none"/>
        </w:rPr>
        <w:t> </w:t>
      </w:r>
    </w:p>
    <w:p w14:paraId="6E986077">
      <w:pPr>
        <w:shd w:val="clear" w:color="auto" w:fill="FFFFFF"/>
        <w:spacing w:after="150" w:line="240" w:lineRule="auto"/>
        <w:rPr>
          <w:rFonts w:ascii="Arial" w:hAnsi="Arial" w:eastAsia="Times New Roman" w:cs="Arial"/>
          <w:color w:val="333333"/>
          <w:kern w:val="0"/>
          <w:sz w:val="20"/>
          <w:szCs w:val="20"/>
          <w14:ligatures w14:val="none"/>
        </w:rPr>
      </w:pPr>
      <w:r>
        <w:rPr>
          <w:rFonts w:ascii="Arial" w:hAnsi="Arial" w:eastAsia="Times New Roman" w:cs="Arial"/>
          <w:b/>
          <w:bCs/>
          <w:color w:val="333333"/>
          <w:kern w:val="0"/>
          <w:sz w:val="20"/>
          <w:szCs w:val="20"/>
          <w14:ligatures w14:val="none"/>
        </w:rPr>
        <w:t>Country:</w:t>
      </w:r>
      <w:r>
        <w:rPr>
          <w:rFonts w:ascii="Arial" w:hAnsi="Arial" w:eastAsia="Times New Roman" w:cs="Arial"/>
          <w:color w:val="333333"/>
          <w:kern w:val="0"/>
          <w:sz w:val="20"/>
          <w:szCs w:val="20"/>
          <w14:ligatures w14:val="none"/>
        </w:rPr>
        <w:t> </w:t>
      </w:r>
      <w:r>
        <w:rPr>
          <w:rFonts w:ascii="Arial" w:hAnsi="Arial" w:eastAsia="Times New Roman" w:cs="Arial"/>
          <w:b/>
          <w:bCs/>
          <w:i/>
          <w:iCs/>
          <w:color w:val="333333"/>
          <w:kern w:val="0"/>
          <w:sz w:val="20"/>
          <w:szCs w:val="20"/>
          <w14:ligatures w14:val="none"/>
        </w:rPr>
        <w:t>Republic of Tajikistan</w:t>
      </w:r>
    </w:p>
    <w:p w14:paraId="66B9AFE3">
      <w:pPr>
        <w:shd w:val="clear" w:color="auto" w:fill="FFFFFF"/>
        <w:spacing w:after="150" w:line="240" w:lineRule="auto"/>
        <w:rPr>
          <w:rFonts w:ascii="Arial" w:hAnsi="Arial" w:eastAsia="Times New Roman" w:cs="Arial"/>
          <w:b/>
          <w:bCs/>
          <w:i/>
          <w:iCs/>
          <w:color w:val="333333"/>
          <w:kern w:val="0"/>
          <w:sz w:val="20"/>
          <w:szCs w:val="20"/>
          <w14:ligatures w14:val="none"/>
        </w:rPr>
      </w:pPr>
      <w:r>
        <w:rPr>
          <w:rFonts w:ascii="Arial" w:hAnsi="Arial" w:eastAsia="Times New Roman" w:cs="Arial"/>
          <w:b/>
          <w:bCs/>
          <w:color w:val="333333"/>
          <w:kern w:val="0"/>
          <w:sz w:val="20"/>
          <w:szCs w:val="20"/>
          <w14:ligatures w14:val="none"/>
        </w:rPr>
        <w:t>Name of Project: </w:t>
      </w:r>
      <w:r>
        <w:rPr>
          <w:rFonts w:ascii="Arial" w:hAnsi="Arial" w:eastAsia="Times New Roman" w:cs="Arial"/>
          <w:b/>
          <w:bCs/>
          <w:i/>
          <w:iCs/>
          <w:color w:val="333333"/>
          <w:kern w:val="0"/>
          <w:sz w:val="20"/>
          <w:szCs w:val="20"/>
          <w14:ligatures w14:val="none"/>
        </w:rPr>
        <w:t>Tax Committee under the Government of the Republic of Tajikistan</w:t>
      </w:r>
    </w:p>
    <w:p w14:paraId="7C9D7EA3">
      <w:pPr>
        <w:shd w:val="clear" w:color="auto" w:fill="FFFFFF"/>
        <w:spacing w:after="150" w:line="240" w:lineRule="auto"/>
        <w:rPr>
          <w:rFonts w:ascii="Arial" w:hAnsi="Arial" w:cs="Arial"/>
          <w:b/>
          <w:bCs/>
          <w:i/>
          <w:iCs/>
          <w:sz w:val="20"/>
          <w:szCs w:val="20"/>
        </w:rPr>
      </w:pPr>
      <w:r>
        <w:rPr>
          <w:rFonts w:ascii="Arial" w:hAnsi="Arial" w:eastAsia="Times New Roman" w:cs="Arial"/>
          <w:b/>
          <w:bCs/>
          <w:color w:val="333333"/>
          <w:kern w:val="0"/>
          <w:sz w:val="20"/>
          <w:szCs w:val="20"/>
          <w14:ligatures w14:val="none"/>
        </w:rPr>
        <w:t>Contract Title:</w:t>
      </w:r>
      <w:r>
        <w:rPr>
          <w:rFonts w:ascii="Arial" w:hAnsi="Arial" w:eastAsia="Times New Roman" w:cs="Arial"/>
          <w:color w:val="333333"/>
          <w:kern w:val="0"/>
          <w:sz w:val="20"/>
          <w:szCs w:val="20"/>
          <w14:ligatures w14:val="none"/>
        </w:rPr>
        <w:t> </w:t>
      </w:r>
      <w:r>
        <w:rPr>
          <w:rFonts w:ascii="Arial" w:hAnsi="Arial" w:eastAsia="Times New Roman" w:cs="Arial"/>
          <w:b/>
          <w:bCs/>
          <w:i/>
          <w:iCs/>
          <w:color w:val="333333"/>
          <w:kern w:val="0"/>
          <w:sz w:val="20"/>
          <w:szCs w:val="20"/>
          <w14:ligatures w14:val="none"/>
        </w:rPr>
        <w:t>Procurement of software, servers and network switchers</w:t>
      </w:r>
      <w:r>
        <w:rPr>
          <w:rFonts w:ascii="Arial" w:hAnsi="Arial" w:cs="Arial"/>
          <w:b/>
          <w:bCs/>
          <w:i/>
          <w:iCs/>
          <w:sz w:val="20"/>
          <w:szCs w:val="20"/>
        </w:rPr>
        <w:t xml:space="preserve"> in 3 lots:</w:t>
      </w:r>
    </w:p>
    <w:p w14:paraId="411037FD">
      <w:pPr>
        <w:spacing w:before="60"/>
        <w:rPr>
          <w:rFonts w:ascii="Arial" w:hAnsi="Arial" w:cs="Arial"/>
          <w:b/>
          <w:bCs/>
          <w:i/>
          <w:iCs/>
          <w:sz w:val="20"/>
          <w:szCs w:val="20"/>
        </w:rPr>
      </w:pPr>
      <w:r>
        <w:rPr>
          <w:rFonts w:ascii="Arial" w:hAnsi="Arial" w:cs="Arial"/>
          <w:b/>
          <w:bCs/>
          <w:i/>
          <w:iCs/>
          <w:sz w:val="20"/>
          <w:szCs w:val="20"/>
        </w:rPr>
        <w:t>Lot 1 - Software</w:t>
      </w:r>
    </w:p>
    <w:p w14:paraId="2640B9A8">
      <w:pPr>
        <w:spacing w:before="60"/>
        <w:rPr>
          <w:rFonts w:ascii="Arial" w:hAnsi="Arial" w:cs="Arial"/>
          <w:b/>
          <w:bCs/>
          <w:i/>
          <w:iCs/>
          <w:sz w:val="20"/>
          <w:szCs w:val="20"/>
        </w:rPr>
      </w:pPr>
      <w:r>
        <w:rPr>
          <w:rFonts w:ascii="Arial" w:hAnsi="Arial" w:cs="Arial"/>
          <w:b/>
          <w:bCs/>
          <w:i/>
          <w:iCs/>
          <w:sz w:val="20"/>
          <w:szCs w:val="20"/>
        </w:rPr>
        <w:t>Lot 2 - Network Switches</w:t>
      </w:r>
    </w:p>
    <w:p w14:paraId="1C1F2638">
      <w:pPr>
        <w:spacing w:before="60" w:after="240"/>
        <w:rPr>
          <w:rFonts w:ascii="Arial" w:hAnsi="Arial" w:cs="Arial"/>
          <w:b/>
          <w:bCs/>
          <w:i/>
          <w:iCs/>
          <w:color w:val="000000" w:themeColor="text1"/>
          <w:sz w:val="20"/>
          <w:szCs w:val="20"/>
          <w14:textFill>
            <w14:solidFill>
              <w14:schemeClr w14:val="tx1"/>
            </w14:solidFill>
          </w14:textFill>
        </w:rPr>
      </w:pPr>
      <w:r>
        <w:rPr>
          <w:rFonts w:ascii="Arial" w:hAnsi="Arial" w:cs="Arial"/>
          <w:b/>
          <w:bCs/>
          <w:i/>
          <w:iCs/>
          <w:sz w:val="20"/>
          <w:szCs w:val="20"/>
        </w:rPr>
        <w:t>Lot 3 - Servers and Storage</w:t>
      </w:r>
    </w:p>
    <w:p w14:paraId="7209F10E">
      <w:pPr>
        <w:shd w:val="clear" w:color="auto" w:fill="FFFFFF"/>
        <w:spacing w:after="150" w:line="240" w:lineRule="auto"/>
        <w:rPr>
          <w:rFonts w:ascii="Arial" w:hAnsi="Arial" w:eastAsia="Times New Roman" w:cs="Arial"/>
          <w:color w:val="333333"/>
          <w:kern w:val="0"/>
          <w:sz w:val="20"/>
          <w:szCs w:val="20"/>
          <w14:ligatures w14:val="none"/>
        </w:rPr>
      </w:pPr>
      <w:r>
        <w:rPr>
          <w:rFonts w:ascii="Arial" w:hAnsi="Arial" w:eastAsia="Times New Roman" w:cs="Arial"/>
          <w:b/>
          <w:bCs/>
          <w:color w:val="333333"/>
          <w:kern w:val="0"/>
          <w:sz w:val="20"/>
          <w:szCs w:val="20"/>
          <w14:ligatures w14:val="none"/>
        </w:rPr>
        <w:t>Loan No./Credit No./ Grant No.:</w:t>
      </w:r>
      <w:r>
        <w:rPr>
          <w:rFonts w:ascii="Arial" w:hAnsi="Arial" w:eastAsia="Times New Roman" w:cs="Arial"/>
          <w:color w:val="333333"/>
          <w:kern w:val="0"/>
          <w:sz w:val="20"/>
          <w:szCs w:val="20"/>
          <w14:ligatures w14:val="none"/>
        </w:rPr>
        <w:t> </w:t>
      </w:r>
      <w:r>
        <w:rPr>
          <w:rFonts w:ascii="Arial" w:hAnsi="Arial" w:eastAsia="Times New Roman" w:cs="Arial"/>
          <w:b/>
          <w:bCs/>
          <w:i/>
          <w:iCs/>
          <w:color w:val="333333"/>
          <w:kern w:val="0"/>
          <w:sz w:val="20"/>
          <w:szCs w:val="20"/>
          <w14:ligatures w14:val="none"/>
        </w:rPr>
        <w:t>D835-TJ</w:t>
      </w:r>
    </w:p>
    <w:p w14:paraId="0271A791">
      <w:pPr>
        <w:shd w:val="clear" w:color="auto" w:fill="FFFFFF"/>
        <w:spacing w:after="150" w:line="240" w:lineRule="auto"/>
        <w:rPr>
          <w:rFonts w:ascii="Arial" w:hAnsi="Arial" w:eastAsia="Times New Roman" w:cs="Arial"/>
          <w:color w:val="333333"/>
          <w:kern w:val="0"/>
          <w:sz w:val="20"/>
          <w:szCs w:val="20"/>
          <w14:ligatures w14:val="none"/>
        </w:rPr>
      </w:pPr>
      <w:r>
        <w:rPr>
          <w:rFonts w:ascii="Arial" w:hAnsi="Arial" w:eastAsia="Times New Roman" w:cs="Arial"/>
          <w:b/>
          <w:bCs/>
          <w:color w:val="333333"/>
          <w:kern w:val="0"/>
          <w:sz w:val="20"/>
          <w:szCs w:val="20"/>
          <w14:ligatures w14:val="none"/>
        </w:rPr>
        <w:t>RFB Reference No.:</w:t>
      </w:r>
      <w:r>
        <w:rPr>
          <w:rFonts w:ascii="Arial" w:hAnsi="Arial" w:eastAsia="Times New Roman" w:cs="Arial"/>
          <w:color w:val="333333"/>
          <w:kern w:val="0"/>
          <w:sz w:val="20"/>
          <w:szCs w:val="20"/>
          <w14:ligatures w14:val="none"/>
        </w:rPr>
        <w:t> </w:t>
      </w:r>
      <w:r>
        <w:rPr>
          <w:rFonts w:ascii="Arial" w:hAnsi="Arial" w:eastAsia="Times New Roman" w:cs="Arial"/>
          <w:b/>
          <w:bCs/>
          <w:i/>
          <w:iCs/>
          <w:color w:val="333333"/>
          <w:kern w:val="0"/>
          <w:sz w:val="20"/>
          <w:szCs w:val="20"/>
          <w:lang w:val="es-BO"/>
          <w14:ligatures w14:val="none"/>
        </w:rPr>
        <w:t>TRO/D8350/RFB/2024/01</w:t>
      </w:r>
    </w:p>
    <w:p w14:paraId="5D36145B">
      <w:pPr>
        <w:pStyle w:val="5"/>
        <w:numPr>
          <w:ilvl w:val="0"/>
          <w:numId w:val="1"/>
        </w:numPr>
        <w:shd w:val="clear" w:color="auto" w:fill="FFFFFF"/>
        <w:tabs>
          <w:tab w:val="left" w:pos="720"/>
        </w:tabs>
        <w:spacing w:before="100" w:beforeAutospacing="1" w:after="100" w:afterAutospacing="1" w:line="240" w:lineRule="auto"/>
        <w:jc w:val="both"/>
        <w:rPr>
          <w:rFonts w:ascii="Arial" w:hAnsi="Arial" w:eastAsia="Times New Roman" w:cs="Arial"/>
          <w:b w:val="0"/>
          <w:bCs w:val="0"/>
          <w:i w:val="0"/>
          <w:iCs w:val="0"/>
          <w:color w:val="333333"/>
          <w:kern w:val="0"/>
          <w:sz w:val="20"/>
          <w:szCs w:val="20"/>
          <w14:ligatures w14:val="none"/>
        </w:rPr>
      </w:pPr>
      <w:r>
        <w:rPr>
          <w:rFonts w:ascii="Arial" w:hAnsi="Arial" w:eastAsia="Times New Roman" w:cs="Arial"/>
          <w:color w:val="333333"/>
          <w:kern w:val="0"/>
          <w:sz w:val="20"/>
          <w:szCs w:val="20"/>
          <w14:ligatures w14:val="none"/>
        </w:rPr>
        <w:t>The </w:t>
      </w:r>
      <w:r>
        <w:rPr>
          <w:rFonts w:ascii="Arial" w:hAnsi="Arial" w:eastAsia="Times New Roman" w:cs="Arial"/>
          <w:i/>
          <w:iCs/>
          <w:color w:val="333333"/>
          <w:kern w:val="0"/>
          <w:sz w:val="20"/>
          <w:szCs w:val="20"/>
          <w14:ligatures w14:val="none"/>
        </w:rPr>
        <w:t>Republic of Tajikistan has received </w:t>
      </w:r>
      <w:r>
        <w:rPr>
          <w:rFonts w:ascii="Arial" w:hAnsi="Arial" w:eastAsia="Times New Roman" w:cs="Arial"/>
          <w:color w:val="333333"/>
          <w:kern w:val="0"/>
          <w:sz w:val="20"/>
          <w:szCs w:val="20"/>
          <w14:ligatures w14:val="none"/>
        </w:rPr>
        <w:t>financing from the World Bank toward the cost of the</w:t>
      </w:r>
      <w:r>
        <w:rPr>
          <w:rFonts w:ascii="Arial" w:hAnsi="Arial" w:eastAsia="Times New Roman" w:cs="Arial"/>
          <w:i/>
          <w:iCs/>
          <w:color w:val="333333"/>
          <w:kern w:val="0"/>
          <w:sz w:val="20"/>
          <w:szCs w:val="20"/>
          <w14:ligatures w14:val="none"/>
        </w:rPr>
        <w:t> Tax Operation Reform project</w:t>
      </w:r>
      <w:r>
        <w:rPr>
          <w:rFonts w:ascii="Arial" w:hAnsi="Arial" w:eastAsia="Times New Roman" w:cs="Arial"/>
          <w:color w:val="333333"/>
          <w:kern w:val="0"/>
          <w:sz w:val="20"/>
          <w:szCs w:val="20"/>
          <w14:ligatures w14:val="none"/>
        </w:rPr>
        <w:t>, and intends to apply part of the proceeds toward payments under the contract for </w:t>
      </w:r>
      <w:r>
        <w:rPr>
          <w:rFonts w:ascii="Arial" w:hAnsi="Arial" w:eastAsia="Times New Roman" w:cs="Arial"/>
          <w:b/>
          <w:bCs/>
          <w:color w:val="333333"/>
          <w:kern w:val="0"/>
          <w:sz w:val="20"/>
          <w:szCs w:val="20"/>
          <w14:ligatures w14:val="none"/>
        </w:rPr>
        <w:t>Procure</w:t>
      </w:r>
      <w:bookmarkStart w:id="0" w:name="_GoBack"/>
      <w:bookmarkEnd w:id="0"/>
      <w:r>
        <w:rPr>
          <w:rFonts w:ascii="Arial" w:hAnsi="Arial" w:eastAsia="Times New Roman" w:cs="Arial"/>
          <w:b/>
          <w:bCs/>
          <w:color w:val="333333"/>
          <w:kern w:val="0"/>
          <w:sz w:val="20"/>
          <w:szCs w:val="20"/>
          <w14:ligatures w14:val="none"/>
        </w:rPr>
        <w:t>ment of software, servers and network switchers</w:t>
      </w:r>
      <w:r>
        <w:rPr>
          <w:rFonts w:ascii="Arial" w:hAnsi="Arial" w:eastAsia="Times New Roman" w:cs="Arial"/>
          <w:b/>
          <w:bCs/>
          <w:i/>
          <w:iCs/>
          <w:color w:val="333333"/>
          <w:kern w:val="0"/>
          <w:sz w:val="20"/>
          <w:szCs w:val="20"/>
          <w14:ligatures w14:val="none"/>
        </w:rPr>
        <w:t>.</w:t>
      </w:r>
    </w:p>
    <w:p w14:paraId="00DC9D2E">
      <w:pPr>
        <w:pStyle w:val="5"/>
        <w:numPr>
          <w:ilvl w:val="0"/>
          <w:numId w:val="1"/>
        </w:numPr>
        <w:shd w:val="clear" w:color="auto" w:fill="FFFFFF"/>
        <w:spacing w:after="150" w:line="240" w:lineRule="auto"/>
        <w:jc w:val="both"/>
        <w:rPr>
          <w:b/>
          <w:bCs/>
          <w:color w:val="000000" w:themeColor="text1"/>
          <w:sz w:val="28"/>
          <w:szCs w:val="28"/>
          <w14:textFill>
            <w14:solidFill>
              <w14:schemeClr w14:val="tx1"/>
            </w14:solidFill>
          </w14:textFill>
        </w:rPr>
      </w:pPr>
      <w:r>
        <w:rPr>
          <w:rFonts w:ascii="Arial" w:hAnsi="Arial" w:eastAsia="Times New Roman" w:cs="Arial"/>
          <w:color w:val="333333"/>
          <w:kern w:val="0"/>
          <w:sz w:val="20"/>
          <w:szCs w:val="20"/>
          <w14:ligatures w14:val="none"/>
        </w:rPr>
        <w:t xml:space="preserve">Bidders may Bid for one or several contracts, as further defined in the Bidding document. </w:t>
      </w:r>
    </w:p>
    <w:p w14:paraId="79AEE861">
      <w:pPr>
        <w:pStyle w:val="5"/>
        <w:numPr>
          <w:ilvl w:val="0"/>
          <w:numId w:val="1"/>
        </w:numPr>
        <w:shd w:val="clear" w:color="auto" w:fill="FFFFFF"/>
        <w:spacing w:after="150" w:line="240" w:lineRule="auto"/>
        <w:jc w:val="both"/>
        <w:rPr>
          <w:rFonts w:ascii="Arial" w:hAnsi="Arial" w:eastAsia="Times New Roman" w:cs="Arial"/>
          <w:b w:val="0"/>
          <w:bCs w:val="0"/>
          <w:color w:val="333333"/>
          <w:kern w:val="0"/>
          <w:sz w:val="20"/>
          <w:szCs w:val="20"/>
          <w14:ligatures w14:val="none"/>
        </w:rPr>
      </w:pPr>
      <w:r>
        <w:rPr>
          <w:rFonts w:ascii="Arial" w:hAnsi="Arial" w:eastAsia="Times New Roman" w:cs="Arial"/>
          <w:color w:val="333333"/>
          <w:kern w:val="0"/>
          <w:sz w:val="20"/>
          <w:szCs w:val="20"/>
          <w14:ligatures w14:val="none"/>
        </w:rPr>
        <w:t>The</w:t>
      </w:r>
      <w:r>
        <w:rPr>
          <w:rFonts w:ascii="Arial" w:hAnsi="Arial" w:eastAsia="Times New Roman" w:cs="Arial"/>
          <w:b/>
          <w:bCs/>
          <w:color w:val="333333"/>
          <w:kern w:val="0"/>
          <w:sz w:val="20"/>
          <w:szCs w:val="20"/>
          <w14:ligatures w14:val="none"/>
        </w:rPr>
        <w:t> Tax Committee under the Government of the Republic of Tajikistan</w:t>
      </w:r>
      <w:r>
        <w:rPr>
          <w:rFonts w:ascii="Arial" w:hAnsi="Arial" w:eastAsia="Times New Roman" w:cs="Arial"/>
          <w:color w:val="333333"/>
          <w:kern w:val="0"/>
          <w:sz w:val="20"/>
          <w:szCs w:val="20"/>
          <w14:ligatures w14:val="none"/>
        </w:rPr>
        <w:t> now invites sealed Bids from eligible Bidders for</w:t>
      </w:r>
      <w:r>
        <w:rPr>
          <w:rFonts w:ascii="Arial" w:hAnsi="Arial" w:eastAsia="Times New Roman" w:cs="Arial"/>
          <w:b/>
          <w:bCs/>
          <w:color w:val="333333"/>
          <w:kern w:val="0"/>
          <w:sz w:val="20"/>
          <w:szCs w:val="20"/>
          <w14:ligatures w14:val="none"/>
        </w:rPr>
        <w:t xml:space="preserve"> Procurement of software, servers and network switchers in 3 lots: Lot 1 - Software; Lot 2 - Network Switches; Lot 3 - Servers and Storage. </w:t>
      </w:r>
    </w:p>
    <w:p w14:paraId="4898AF06">
      <w:pPr>
        <w:pStyle w:val="5"/>
        <w:shd w:val="clear" w:color="auto" w:fill="FFFFFF"/>
        <w:spacing w:after="150" w:line="240" w:lineRule="auto"/>
        <w:jc w:val="both"/>
        <w:rPr>
          <w:rFonts w:ascii="Arial" w:hAnsi="Arial" w:eastAsia="Times New Roman" w:cs="Arial"/>
          <w:color w:val="333333"/>
          <w:kern w:val="0"/>
          <w:sz w:val="20"/>
          <w:szCs w:val="20"/>
          <w14:ligatures w14:val="none"/>
        </w:rPr>
      </w:pPr>
    </w:p>
    <w:p w14:paraId="47EB4464">
      <w:pPr>
        <w:pStyle w:val="5"/>
        <w:shd w:val="clear" w:color="auto" w:fill="FFFFFF"/>
        <w:tabs>
          <w:tab w:val="left" w:pos="720"/>
        </w:tabs>
        <w:spacing w:before="100" w:beforeAutospacing="1" w:after="100" w:afterAutospacing="1" w:line="240" w:lineRule="auto"/>
        <w:jc w:val="both"/>
        <w:rPr>
          <w:rFonts w:ascii="Arial" w:hAnsi="Arial" w:eastAsia="Times New Roman" w:cs="Arial"/>
          <w:color w:val="333333"/>
          <w:kern w:val="0"/>
          <w:sz w:val="20"/>
          <w:szCs w:val="20"/>
          <w14:ligatures w14:val="none"/>
        </w:rPr>
      </w:pPr>
    </w:p>
    <w:tbl>
      <w:tblPr>
        <w:tblStyle w:val="4"/>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0"/>
        <w:gridCol w:w="3724"/>
        <w:gridCol w:w="1787"/>
      </w:tblGrid>
      <w:tr w14:paraId="3802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00" w:type="dxa"/>
          </w:tcPr>
          <w:p w14:paraId="27AB8E3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
                <w:sz w:val="20"/>
                <w:szCs w:val="20"/>
              </w:rPr>
            </w:pPr>
            <w:r>
              <w:rPr>
                <w:rFonts w:ascii="Arial" w:hAnsi="Arial" w:cs="Arial"/>
                <w:b/>
                <w:sz w:val="20"/>
                <w:szCs w:val="20"/>
              </w:rPr>
              <w:t xml:space="preserve">Lot </w:t>
            </w:r>
          </w:p>
        </w:tc>
        <w:tc>
          <w:tcPr>
            <w:tcW w:w="3724" w:type="dxa"/>
          </w:tcPr>
          <w:p w14:paraId="7B7B9E4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
                <w:sz w:val="20"/>
                <w:szCs w:val="20"/>
              </w:rPr>
            </w:pPr>
            <w:r>
              <w:rPr>
                <w:rFonts w:ascii="Arial" w:hAnsi="Arial" w:cs="Arial"/>
                <w:b/>
                <w:sz w:val="20"/>
                <w:szCs w:val="20"/>
              </w:rPr>
              <w:t>Description</w:t>
            </w:r>
          </w:p>
        </w:tc>
        <w:tc>
          <w:tcPr>
            <w:tcW w:w="1787" w:type="dxa"/>
          </w:tcPr>
          <w:p w14:paraId="50751DB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
                <w:sz w:val="20"/>
                <w:szCs w:val="20"/>
              </w:rPr>
            </w:pPr>
            <w:r>
              <w:rPr>
                <w:rFonts w:ascii="Arial" w:hAnsi="Arial" w:cs="Arial"/>
                <w:b/>
                <w:sz w:val="20"/>
                <w:szCs w:val="20"/>
              </w:rPr>
              <w:t>Quantity</w:t>
            </w:r>
          </w:p>
        </w:tc>
      </w:tr>
      <w:tr w14:paraId="5F15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00" w:type="dxa"/>
            <w:vMerge w:val="restart"/>
          </w:tcPr>
          <w:p w14:paraId="50C7B69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
                <w:sz w:val="20"/>
                <w:szCs w:val="20"/>
              </w:rPr>
            </w:pPr>
            <w:r>
              <w:rPr>
                <w:rFonts w:ascii="Arial" w:hAnsi="Arial" w:cs="Arial"/>
                <w:b/>
                <w:sz w:val="20"/>
                <w:szCs w:val="20"/>
              </w:rPr>
              <w:t>Lot 1: Software</w:t>
            </w:r>
          </w:p>
        </w:tc>
        <w:tc>
          <w:tcPr>
            <w:tcW w:w="3724" w:type="dxa"/>
          </w:tcPr>
          <w:p w14:paraId="18B4F9A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Cs/>
                <w:sz w:val="20"/>
                <w:szCs w:val="20"/>
              </w:rPr>
            </w:pPr>
            <w:r>
              <w:rPr>
                <w:rFonts w:ascii="Arial" w:hAnsi="Arial" w:cs="Arial"/>
                <w:bCs/>
                <w:sz w:val="20"/>
                <w:szCs w:val="20"/>
              </w:rPr>
              <w:t>Antivirus</w:t>
            </w:r>
          </w:p>
        </w:tc>
        <w:tc>
          <w:tcPr>
            <w:tcW w:w="1787" w:type="dxa"/>
            <w:vAlign w:val="center"/>
          </w:tcPr>
          <w:p w14:paraId="71DA4EF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center"/>
              <w:rPr>
                <w:rFonts w:ascii="Arial" w:hAnsi="Arial" w:cs="Arial"/>
                <w:bCs/>
                <w:sz w:val="20"/>
                <w:szCs w:val="20"/>
              </w:rPr>
            </w:pPr>
            <w:r>
              <w:rPr>
                <w:rFonts w:ascii="Arial" w:hAnsi="Arial" w:cs="Arial"/>
                <w:bCs/>
                <w:sz w:val="20"/>
                <w:szCs w:val="20"/>
              </w:rPr>
              <w:t>1 instance</w:t>
            </w:r>
          </w:p>
        </w:tc>
      </w:tr>
      <w:tr w14:paraId="2430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00" w:type="dxa"/>
            <w:vMerge w:val="continue"/>
          </w:tcPr>
          <w:p w14:paraId="4772AD8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
                <w:sz w:val="20"/>
                <w:szCs w:val="20"/>
              </w:rPr>
            </w:pPr>
          </w:p>
        </w:tc>
        <w:tc>
          <w:tcPr>
            <w:tcW w:w="3724" w:type="dxa"/>
          </w:tcPr>
          <w:p w14:paraId="1578155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Cs/>
                <w:sz w:val="20"/>
                <w:szCs w:val="20"/>
              </w:rPr>
            </w:pPr>
            <w:r>
              <w:rPr>
                <w:rFonts w:ascii="Arial" w:hAnsi="Arial" w:cs="Arial"/>
                <w:bCs/>
                <w:sz w:val="20"/>
                <w:szCs w:val="20"/>
              </w:rPr>
              <w:t>Database Software</w:t>
            </w:r>
          </w:p>
        </w:tc>
        <w:tc>
          <w:tcPr>
            <w:tcW w:w="1787" w:type="dxa"/>
            <w:vAlign w:val="center"/>
          </w:tcPr>
          <w:p w14:paraId="3AD8A49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center"/>
              <w:rPr>
                <w:rFonts w:ascii="Arial" w:hAnsi="Arial" w:cs="Arial"/>
                <w:bCs/>
                <w:sz w:val="20"/>
                <w:szCs w:val="20"/>
              </w:rPr>
            </w:pPr>
            <w:r>
              <w:rPr>
                <w:rFonts w:ascii="Arial" w:hAnsi="Arial" w:cs="Arial"/>
                <w:bCs/>
                <w:sz w:val="20"/>
                <w:szCs w:val="20"/>
              </w:rPr>
              <w:t>10 users</w:t>
            </w:r>
          </w:p>
        </w:tc>
      </w:tr>
      <w:tr w14:paraId="43F2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00" w:type="dxa"/>
            <w:vMerge w:val="continue"/>
          </w:tcPr>
          <w:p w14:paraId="66BC8BD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
                <w:sz w:val="20"/>
                <w:szCs w:val="20"/>
              </w:rPr>
            </w:pPr>
          </w:p>
        </w:tc>
        <w:tc>
          <w:tcPr>
            <w:tcW w:w="3724" w:type="dxa"/>
          </w:tcPr>
          <w:p w14:paraId="6A4ECDA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Cs/>
                <w:sz w:val="20"/>
                <w:szCs w:val="20"/>
              </w:rPr>
            </w:pPr>
            <w:r>
              <w:rPr>
                <w:rFonts w:ascii="Arial" w:hAnsi="Arial" w:cs="Arial"/>
                <w:bCs/>
                <w:sz w:val="20"/>
                <w:szCs w:val="20"/>
              </w:rPr>
              <w:t>System Monitoring</w:t>
            </w:r>
          </w:p>
        </w:tc>
        <w:tc>
          <w:tcPr>
            <w:tcW w:w="1787" w:type="dxa"/>
            <w:vAlign w:val="center"/>
          </w:tcPr>
          <w:p w14:paraId="6C34E2E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center"/>
              <w:rPr>
                <w:rFonts w:ascii="Arial" w:hAnsi="Arial" w:cs="Arial"/>
                <w:bCs/>
                <w:sz w:val="20"/>
                <w:szCs w:val="20"/>
              </w:rPr>
            </w:pPr>
            <w:r>
              <w:rPr>
                <w:rFonts w:ascii="Arial" w:hAnsi="Arial" w:cs="Arial"/>
                <w:bCs/>
                <w:sz w:val="20"/>
                <w:szCs w:val="20"/>
              </w:rPr>
              <w:t>1 instance</w:t>
            </w:r>
          </w:p>
        </w:tc>
      </w:tr>
      <w:tr w14:paraId="0085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00" w:type="dxa"/>
            <w:vMerge w:val="restart"/>
          </w:tcPr>
          <w:p w14:paraId="4774696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
                <w:sz w:val="20"/>
                <w:szCs w:val="20"/>
              </w:rPr>
            </w:pPr>
            <w:r>
              <w:rPr>
                <w:rFonts w:ascii="Arial" w:hAnsi="Arial" w:cs="Arial"/>
                <w:b/>
                <w:sz w:val="20"/>
                <w:szCs w:val="20"/>
              </w:rPr>
              <w:t>Lot 2: Network Switches</w:t>
            </w:r>
          </w:p>
        </w:tc>
        <w:tc>
          <w:tcPr>
            <w:tcW w:w="3724" w:type="dxa"/>
          </w:tcPr>
          <w:p w14:paraId="57FD1F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Cs/>
                <w:sz w:val="20"/>
                <w:szCs w:val="20"/>
              </w:rPr>
            </w:pPr>
            <w:r>
              <w:rPr>
                <w:rFonts w:ascii="Arial" w:hAnsi="Arial" w:cs="Arial"/>
                <w:bCs/>
                <w:sz w:val="20"/>
                <w:szCs w:val="20"/>
              </w:rPr>
              <w:t>Ethernet Switch</w:t>
            </w:r>
          </w:p>
        </w:tc>
        <w:tc>
          <w:tcPr>
            <w:tcW w:w="1787" w:type="dxa"/>
            <w:vAlign w:val="center"/>
          </w:tcPr>
          <w:p w14:paraId="249B9A9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center"/>
              <w:rPr>
                <w:rFonts w:ascii="Arial" w:hAnsi="Arial" w:cs="Arial"/>
                <w:bCs/>
                <w:sz w:val="20"/>
                <w:szCs w:val="20"/>
              </w:rPr>
            </w:pPr>
            <w:r>
              <w:rPr>
                <w:rFonts w:ascii="Arial" w:hAnsi="Arial" w:cs="Arial"/>
                <w:bCs/>
                <w:sz w:val="20"/>
                <w:szCs w:val="20"/>
              </w:rPr>
              <w:t>2</w:t>
            </w:r>
          </w:p>
        </w:tc>
      </w:tr>
      <w:tr w14:paraId="6B49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00" w:type="dxa"/>
            <w:vMerge w:val="continue"/>
          </w:tcPr>
          <w:p w14:paraId="20DC013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
                <w:sz w:val="20"/>
                <w:szCs w:val="20"/>
              </w:rPr>
            </w:pPr>
          </w:p>
        </w:tc>
        <w:tc>
          <w:tcPr>
            <w:tcW w:w="3724" w:type="dxa"/>
          </w:tcPr>
          <w:p w14:paraId="3327780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Cs/>
                <w:sz w:val="20"/>
                <w:szCs w:val="20"/>
              </w:rPr>
            </w:pPr>
            <w:r>
              <w:rPr>
                <w:rFonts w:ascii="Arial" w:hAnsi="Arial" w:cs="Arial"/>
                <w:bCs/>
                <w:sz w:val="20"/>
                <w:szCs w:val="20"/>
              </w:rPr>
              <w:t>Ethernet Switch T2</w:t>
            </w:r>
          </w:p>
        </w:tc>
        <w:tc>
          <w:tcPr>
            <w:tcW w:w="1787" w:type="dxa"/>
            <w:vAlign w:val="center"/>
          </w:tcPr>
          <w:p w14:paraId="0C3513E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center"/>
              <w:rPr>
                <w:rFonts w:ascii="Arial" w:hAnsi="Arial" w:cs="Arial"/>
                <w:bCs/>
                <w:sz w:val="20"/>
                <w:szCs w:val="20"/>
              </w:rPr>
            </w:pPr>
            <w:r>
              <w:rPr>
                <w:rFonts w:ascii="Arial" w:hAnsi="Arial" w:cs="Arial"/>
                <w:bCs/>
                <w:sz w:val="20"/>
                <w:szCs w:val="20"/>
              </w:rPr>
              <w:t>1</w:t>
            </w:r>
          </w:p>
        </w:tc>
      </w:tr>
      <w:tr w14:paraId="7DEB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00" w:type="dxa"/>
            <w:vMerge w:val="continue"/>
          </w:tcPr>
          <w:p w14:paraId="77568AA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
                <w:sz w:val="20"/>
                <w:szCs w:val="20"/>
              </w:rPr>
            </w:pPr>
          </w:p>
        </w:tc>
        <w:tc>
          <w:tcPr>
            <w:tcW w:w="3724" w:type="dxa"/>
          </w:tcPr>
          <w:p w14:paraId="4E11703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Cs/>
                <w:sz w:val="20"/>
                <w:szCs w:val="20"/>
              </w:rPr>
            </w:pPr>
            <w:r>
              <w:rPr>
                <w:rFonts w:ascii="Arial" w:hAnsi="Arial" w:cs="Arial"/>
                <w:bCs/>
                <w:sz w:val="20"/>
                <w:szCs w:val="20"/>
              </w:rPr>
              <w:t>Network Firewall</w:t>
            </w:r>
          </w:p>
        </w:tc>
        <w:tc>
          <w:tcPr>
            <w:tcW w:w="1787" w:type="dxa"/>
            <w:vAlign w:val="center"/>
          </w:tcPr>
          <w:p w14:paraId="0E0C036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center"/>
              <w:rPr>
                <w:rFonts w:ascii="Arial" w:hAnsi="Arial" w:cs="Arial"/>
                <w:bCs/>
                <w:sz w:val="20"/>
                <w:szCs w:val="20"/>
              </w:rPr>
            </w:pPr>
            <w:r>
              <w:rPr>
                <w:rFonts w:ascii="Arial" w:hAnsi="Arial" w:cs="Arial"/>
                <w:bCs/>
                <w:sz w:val="20"/>
                <w:szCs w:val="20"/>
              </w:rPr>
              <w:t>3</w:t>
            </w:r>
          </w:p>
        </w:tc>
      </w:tr>
      <w:tr w14:paraId="0B9C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00" w:type="dxa"/>
            <w:vMerge w:val="continue"/>
          </w:tcPr>
          <w:p w14:paraId="6005B63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
                <w:sz w:val="20"/>
                <w:szCs w:val="20"/>
              </w:rPr>
            </w:pPr>
          </w:p>
        </w:tc>
        <w:tc>
          <w:tcPr>
            <w:tcW w:w="3724" w:type="dxa"/>
          </w:tcPr>
          <w:p w14:paraId="562CC8D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Cs/>
                <w:sz w:val="20"/>
                <w:szCs w:val="20"/>
              </w:rPr>
            </w:pPr>
            <w:r>
              <w:rPr>
                <w:rFonts w:ascii="Arial" w:hAnsi="Arial" w:cs="Arial"/>
                <w:bCs/>
                <w:sz w:val="20"/>
                <w:szCs w:val="20"/>
              </w:rPr>
              <w:t>SAN Switch</w:t>
            </w:r>
          </w:p>
        </w:tc>
        <w:tc>
          <w:tcPr>
            <w:tcW w:w="1787" w:type="dxa"/>
            <w:vAlign w:val="center"/>
          </w:tcPr>
          <w:p w14:paraId="0F214D3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center"/>
              <w:rPr>
                <w:rFonts w:ascii="Arial" w:hAnsi="Arial" w:cs="Arial"/>
                <w:bCs/>
                <w:sz w:val="20"/>
                <w:szCs w:val="20"/>
              </w:rPr>
            </w:pPr>
            <w:r>
              <w:rPr>
                <w:rFonts w:ascii="Arial" w:hAnsi="Arial" w:cs="Arial"/>
                <w:bCs/>
                <w:sz w:val="20"/>
                <w:szCs w:val="20"/>
              </w:rPr>
              <w:t>2</w:t>
            </w:r>
          </w:p>
        </w:tc>
      </w:tr>
      <w:tr w14:paraId="1D01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00" w:type="dxa"/>
            <w:vMerge w:val="restart"/>
          </w:tcPr>
          <w:p w14:paraId="0A0B068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
                <w:sz w:val="20"/>
                <w:szCs w:val="20"/>
              </w:rPr>
            </w:pPr>
            <w:r>
              <w:rPr>
                <w:rFonts w:ascii="Arial" w:hAnsi="Arial" w:cs="Arial"/>
                <w:b/>
                <w:sz w:val="20"/>
                <w:szCs w:val="20"/>
              </w:rPr>
              <w:t>Lot 3: Servers and Storage</w:t>
            </w:r>
          </w:p>
        </w:tc>
        <w:tc>
          <w:tcPr>
            <w:tcW w:w="3724" w:type="dxa"/>
          </w:tcPr>
          <w:p w14:paraId="6406571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Cs/>
                <w:sz w:val="20"/>
                <w:szCs w:val="20"/>
              </w:rPr>
            </w:pPr>
            <w:r>
              <w:rPr>
                <w:rFonts w:ascii="Arial" w:hAnsi="Arial" w:cs="Arial"/>
                <w:bCs/>
                <w:sz w:val="20"/>
                <w:szCs w:val="20"/>
              </w:rPr>
              <w:t>Servers</w:t>
            </w:r>
          </w:p>
        </w:tc>
        <w:tc>
          <w:tcPr>
            <w:tcW w:w="1787" w:type="dxa"/>
            <w:vAlign w:val="center"/>
          </w:tcPr>
          <w:p w14:paraId="6248C6D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center"/>
              <w:rPr>
                <w:rFonts w:ascii="Arial" w:hAnsi="Arial" w:cs="Arial"/>
                <w:bCs/>
                <w:sz w:val="20"/>
                <w:szCs w:val="20"/>
              </w:rPr>
            </w:pPr>
            <w:r>
              <w:rPr>
                <w:rFonts w:ascii="Arial" w:hAnsi="Arial" w:cs="Arial"/>
                <w:bCs/>
                <w:sz w:val="20"/>
                <w:szCs w:val="20"/>
              </w:rPr>
              <w:t>4</w:t>
            </w:r>
          </w:p>
        </w:tc>
      </w:tr>
      <w:tr w14:paraId="2E13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00" w:type="dxa"/>
            <w:vMerge w:val="continue"/>
          </w:tcPr>
          <w:p w14:paraId="614FB0C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sz w:val="20"/>
                <w:szCs w:val="20"/>
              </w:rPr>
            </w:pPr>
          </w:p>
        </w:tc>
        <w:tc>
          <w:tcPr>
            <w:tcW w:w="3724" w:type="dxa"/>
          </w:tcPr>
          <w:p w14:paraId="493CFCD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Cs/>
                <w:sz w:val="20"/>
                <w:szCs w:val="20"/>
              </w:rPr>
            </w:pPr>
            <w:r>
              <w:rPr>
                <w:rFonts w:ascii="Arial" w:hAnsi="Arial" w:cs="Arial"/>
                <w:bCs/>
                <w:sz w:val="20"/>
                <w:szCs w:val="20"/>
              </w:rPr>
              <w:t>Server T2</w:t>
            </w:r>
          </w:p>
        </w:tc>
        <w:tc>
          <w:tcPr>
            <w:tcW w:w="1787" w:type="dxa"/>
            <w:vAlign w:val="center"/>
          </w:tcPr>
          <w:p w14:paraId="43BC68F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center"/>
              <w:rPr>
                <w:rFonts w:ascii="Arial" w:hAnsi="Arial" w:cs="Arial"/>
                <w:bCs/>
                <w:sz w:val="20"/>
                <w:szCs w:val="20"/>
              </w:rPr>
            </w:pPr>
            <w:r>
              <w:rPr>
                <w:rFonts w:ascii="Arial" w:hAnsi="Arial" w:cs="Arial"/>
                <w:bCs/>
                <w:sz w:val="20"/>
                <w:szCs w:val="20"/>
              </w:rPr>
              <w:t>2</w:t>
            </w:r>
          </w:p>
        </w:tc>
      </w:tr>
      <w:tr w14:paraId="7109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700" w:type="dxa"/>
            <w:vMerge w:val="continue"/>
          </w:tcPr>
          <w:p w14:paraId="4A9FC92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sz w:val="20"/>
                <w:szCs w:val="20"/>
              </w:rPr>
            </w:pPr>
          </w:p>
        </w:tc>
        <w:tc>
          <w:tcPr>
            <w:tcW w:w="3724" w:type="dxa"/>
          </w:tcPr>
          <w:p w14:paraId="6EF5E1F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both"/>
              <w:rPr>
                <w:rFonts w:ascii="Arial" w:hAnsi="Arial" w:cs="Arial"/>
                <w:bCs/>
                <w:sz w:val="20"/>
                <w:szCs w:val="20"/>
              </w:rPr>
            </w:pPr>
            <w:r>
              <w:rPr>
                <w:rFonts w:ascii="Arial" w:hAnsi="Arial" w:cs="Arial"/>
                <w:bCs/>
                <w:sz w:val="20"/>
                <w:szCs w:val="20"/>
              </w:rPr>
              <w:t>Storage</w:t>
            </w:r>
          </w:p>
        </w:tc>
        <w:tc>
          <w:tcPr>
            <w:tcW w:w="1787" w:type="dxa"/>
            <w:vAlign w:val="center"/>
          </w:tcPr>
          <w:p w14:paraId="69EAD56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40" w:after="40"/>
              <w:jc w:val="center"/>
              <w:rPr>
                <w:rFonts w:ascii="Arial" w:hAnsi="Arial" w:cs="Arial"/>
                <w:bCs/>
                <w:sz w:val="20"/>
                <w:szCs w:val="20"/>
              </w:rPr>
            </w:pPr>
            <w:r>
              <w:rPr>
                <w:rFonts w:ascii="Arial" w:hAnsi="Arial" w:cs="Arial"/>
                <w:bCs/>
                <w:sz w:val="20"/>
                <w:szCs w:val="20"/>
              </w:rPr>
              <w:t>2</w:t>
            </w:r>
          </w:p>
        </w:tc>
      </w:tr>
    </w:tbl>
    <w:p w14:paraId="05FE67AE">
      <w:pPr>
        <w:shd w:val="clear" w:color="auto" w:fill="FFFFFF"/>
        <w:spacing w:after="150" w:line="240" w:lineRule="auto"/>
        <w:rPr>
          <w:rFonts w:ascii="Arial" w:hAnsi="Arial" w:eastAsia="Times New Roman" w:cs="Arial"/>
          <w:color w:val="333333"/>
          <w:kern w:val="0"/>
          <w:sz w:val="20"/>
          <w:szCs w:val="20"/>
          <w14:ligatures w14:val="none"/>
        </w:rPr>
      </w:pPr>
      <w:r>
        <w:rPr>
          <w:rFonts w:ascii="Arial" w:hAnsi="Arial" w:eastAsia="Times New Roman" w:cs="Arial"/>
          <w:color w:val="333333"/>
          <w:kern w:val="0"/>
          <w:sz w:val="20"/>
          <w:szCs w:val="20"/>
          <w14:ligatures w14:val="none"/>
        </w:rPr>
        <w:t>  </w:t>
      </w:r>
    </w:p>
    <w:p w14:paraId="1C30FECD">
      <w:pPr>
        <w:pStyle w:val="5"/>
        <w:numPr>
          <w:ilvl w:val="0"/>
          <w:numId w:val="0"/>
        </w:numPr>
        <w:shd w:val="clear" w:color="auto" w:fill="FFFFFF"/>
        <w:spacing w:after="150" w:line="240" w:lineRule="auto"/>
        <w:ind w:firstLine="0"/>
        <w:jc w:val="both"/>
        <w:rPr>
          <w:rFonts w:ascii="Arial" w:hAnsi="Arial" w:eastAsia="Times New Roman" w:cs="Arial"/>
          <w:color w:val="333333"/>
          <w:kern w:val="0"/>
          <w:sz w:val="20"/>
          <w:szCs w:val="20"/>
          <w14:ligatures w14:val="none"/>
        </w:rPr>
      </w:pPr>
    </w:p>
    <w:p w14:paraId="6564BDC9">
      <w:pPr>
        <w:pStyle w:val="5"/>
        <w:numPr>
          <w:ilvl w:val="0"/>
          <w:numId w:val="1"/>
        </w:numPr>
        <w:shd w:val="clear" w:color="auto" w:fill="FFFFFF"/>
        <w:spacing w:after="150" w:line="240" w:lineRule="auto"/>
        <w:jc w:val="both"/>
        <w:rPr>
          <w:rFonts w:ascii="Arial" w:hAnsi="Arial" w:eastAsia="Times New Roman" w:cs="Arial"/>
          <w:color w:val="333333"/>
          <w:kern w:val="0"/>
          <w:sz w:val="20"/>
          <w:szCs w:val="20"/>
          <w14:ligatures w14:val="none"/>
        </w:rPr>
      </w:pPr>
      <w:r>
        <w:rPr>
          <w:rFonts w:ascii="Arial" w:hAnsi="Arial" w:eastAsia="Times New Roman" w:cs="Arial"/>
          <w:color w:val="333333"/>
          <w:kern w:val="0"/>
          <w:sz w:val="20"/>
          <w:szCs w:val="20"/>
          <w14:ligatures w14:val="none"/>
        </w:rPr>
        <w:t>Bidding will be conducted through international competitive procurement using a Request for Bids (RFB)  as specified in the World Bank’s “Procurement Regulations for IPF Borrowers” July 2016, revised September 2023, and is open to all eligible Bidders as defined in the Procurement Regulations.</w:t>
      </w:r>
    </w:p>
    <w:p w14:paraId="73C76B4A">
      <w:pPr>
        <w:pStyle w:val="5"/>
        <w:numPr>
          <w:ilvl w:val="0"/>
          <w:numId w:val="1"/>
        </w:numPr>
        <w:shd w:val="clear" w:color="auto" w:fill="FFFFFF"/>
        <w:spacing w:after="150" w:line="240" w:lineRule="auto"/>
        <w:jc w:val="both"/>
        <w:rPr>
          <w:rFonts w:ascii="Arial" w:hAnsi="Arial" w:eastAsia="Times New Roman" w:cs="Arial"/>
          <w:color w:val="333333"/>
          <w:kern w:val="0"/>
          <w:sz w:val="20"/>
          <w:szCs w:val="20"/>
          <w14:ligatures w14:val="none"/>
        </w:rPr>
      </w:pPr>
      <w:r>
        <w:rPr>
          <w:rFonts w:ascii="Arial" w:hAnsi="Arial" w:eastAsia="Times New Roman" w:cs="Arial"/>
          <w:color w:val="333333"/>
          <w:kern w:val="0"/>
          <w:sz w:val="20"/>
          <w:szCs w:val="20"/>
          <w14:ligatures w14:val="none"/>
        </w:rPr>
        <w:t>Interested eligible Bidders may obtain further information from </w:t>
      </w:r>
      <w:r>
        <w:rPr>
          <w:rFonts w:ascii="Arial" w:hAnsi="Arial" w:eastAsia="Times New Roman" w:cs="Arial"/>
          <w:i/>
          <w:iCs/>
          <w:color w:val="333333"/>
          <w:kern w:val="0"/>
          <w:sz w:val="20"/>
          <w:szCs w:val="20"/>
          <w14:ligatures w14:val="none"/>
        </w:rPr>
        <w:t>address indicated in Item 6</w:t>
      </w:r>
      <w:r>
        <w:rPr>
          <w:rFonts w:ascii="Arial" w:hAnsi="Arial" w:eastAsia="Times New Roman" w:cs="Arial"/>
          <w:color w:val="333333"/>
          <w:kern w:val="0"/>
          <w:sz w:val="20"/>
          <w:szCs w:val="20"/>
          <w14:ligatures w14:val="none"/>
        </w:rPr>
        <w:t> and inspect the bidding document during office hours </w:t>
      </w:r>
      <w:r>
        <w:rPr>
          <w:rFonts w:ascii="Arial" w:hAnsi="Arial" w:eastAsia="Times New Roman" w:cs="Arial"/>
          <w:b/>
          <w:bCs/>
          <w:i/>
          <w:iCs/>
          <w:color w:val="333333"/>
          <w:kern w:val="0"/>
          <w:sz w:val="20"/>
          <w:szCs w:val="20"/>
          <w14:ligatures w14:val="none"/>
        </w:rPr>
        <w:t>from 09:00 to 17:00 Dushanbe time</w:t>
      </w:r>
      <w:r>
        <w:rPr>
          <w:rFonts w:ascii="Arial" w:hAnsi="Arial" w:eastAsia="Times New Roman" w:cs="Arial"/>
          <w:i/>
          <w:iCs/>
          <w:color w:val="333333"/>
          <w:kern w:val="0"/>
          <w:sz w:val="20"/>
          <w:szCs w:val="20"/>
          <w14:ligatures w14:val="none"/>
        </w:rPr>
        <w:t xml:space="preserve">. </w:t>
      </w:r>
    </w:p>
    <w:p w14:paraId="395751AB">
      <w:pPr>
        <w:pStyle w:val="5"/>
        <w:numPr>
          <w:ilvl w:val="0"/>
          <w:numId w:val="1"/>
        </w:numPr>
        <w:shd w:val="clear" w:color="auto" w:fill="FFFFFF"/>
        <w:spacing w:after="150" w:line="240" w:lineRule="auto"/>
        <w:jc w:val="both"/>
        <w:rPr>
          <w:rFonts w:ascii="Arial" w:hAnsi="Arial" w:eastAsia="Times New Roman" w:cs="Arial"/>
          <w:color w:val="333333"/>
          <w:kern w:val="0"/>
          <w:sz w:val="20"/>
          <w:szCs w:val="20"/>
          <w14:ligatures w14:val="none"/>
        </w:rPr>
      </w:pPr>
      <w:r>
        <w:rPr>
          <w:rFonts w:ascii="Arial" w:hAnsi="Arial" w:eastAsia="Times New Roman" w:cs="Arial"/>
          <w:color w:val="333333"/>
          <w:kern w:val="0"/>
          <w:sz w:val="20"/>
          <w:szCs w:val="20"/>
          <w14:ligatures w14:val="none"/>
        </w:rPr>
        <w:t>The bidding document in </w:t>
      </w:r>
      <w:r>
        <w:rPr>
          <w:rFonts w:ascii="Arial" w:hAnsi="Arial" w:eastAsia="Times New Roman" w:cs="Arial"/>
          <w:b/>
          <w:bCs/>
          <w:i/>
          <w:iCs/>
          <w:color w:val="333333"/>
          <w:kern w:val="0"/>
          <w:sz w:val="20"/>
          <w:szCs w:val="20"/>
          <w14:ligatures w14:val="none"/>
        </w:rPr>
        <w:t>English</w:t>
      </w:r>
      <w:r>
        <w:rPr>
          <w:rFonts w:ascii="Arial" w:hAnsi="Arial" w:eastAsia="Times New Roman" w:cs="Arial"/>
          <w:i/>
          <w:iCs/>
          <w:color w:val="333333"/>
          <w:kern w:val="0"/>
          <w:sz w:val="20"/>
          <w:szCs w:val="20"/>
          <w14:ligatures w14:val="none"/>
        </w:rPr>
        <w:t> </w:t>
      </w:r>
      <w:r>
        <w:rPr>
          <w:rFonts w:ascii="Arial" w:hAnsi="Arial" w:eastAsia="Times New Roman" w:cs="Arial"/>
          <w:color w:val="333333"/>
          <w:kern w:val="0"/>
          <w:sz w:val="20"/>
          <w:szCs w:val="20"/>
          <w14:ligatures w14:val="none"/>
        </w:rPr>
        <w:t>may be obtained by interested eligible Bidders upon the submission of a written application to the address below:</w:t>
      </w:r>
    </w:p>
    <w:p w14:paraId="65E4EFCD">
      <w:pPr>
        <w:shd w:val="clear" w:color="auto" w:fill="FFFFFF"/>
        <w:spacing w:after="150" w:line="240" w:lineRule="auto"/>
        <w:ind w:left="2160"/>
        <w:rPr>
          <w:rFonts w:ascii="Arial" w:hAnsi="Arial" w:eastAsia="Times New Roman" w:cs="Arial"/>
          <w:i/>
          <w:iCs/>
          <w:color w:val="333333"/>
          <w:kern w:val="0"/>
          <w:sz w:val="20"/>
          <w:szCs w:val="20"/>
          <w14:ligatures w14:val="none"/>
        </w:rPr>
      </w:pPr>
      <w:r>
        <w:rPr>
          <w:rFonts w:ascii="Arial" w:hAnsi="Arial" w:eastAsia="Times New Roman" w:cs="Arial"/>
          <w:i/>
          <w:iCs/>
          <w:color w:val="333333"/>
          <w:kern w:val="0"/>
          <w:sz w:val="20"/>
          <w:szCs w:val="20"/>
          <w14:ligatures w14:val="none"/>
        </w:rPr>
        <w:t>Tax Committee under the Government of the Republic of Tajikistan</w:t>
      </w:r>
    </w:p>
    <w:p w14:paraId="1AD084C9">
      <w:pPr>
        <w:shd w:val="clear" w:color="auto" w:fill="FFFFFF"/>
        <w:spacing w:after="150" w:line="240" w:lineRule="auto"/>
        <w:ind w:left="2160"/>
        <w:rPr>
          <w:rFonts w:ascii="Arial" w:hAnsi="Arial" w:eastAsia="Times New Roman" w:cs="Arial"/>
          <w:i/>
          <w:iCs/>
          <w:color w:val="333333"/>
          <w:kern w:val="0"/>
          <w:sz w:val="20"/>
          <w:szCs w:val="20"/>
          <w14:ligatures w14:val="none"/>
        </w:rPr>
      </w:pPr>
      <w:r>
        <w:rPr>
          <w:rFonts w:ascii="Arial" w:hAnsi="Arial" w:eastAsia="Times New Roman" w:cs="Arial"/>
          <w:i/>
          <w:iCs/>
          <w:color w:val="333333"/>
          <w:kern w:val="0"/>
          <w:sz w:val="20"/>
          <w:szCs w:val="20"/>
          <w14:ligatures w14:val="none"/>
        </w:rPr>
        <w:t xml:space="preserve">Address:  42/2 N. Karabaev str. </w:t>
      </w:r>
    </w:p>
    <w:p w14:paraId="4C82C96B">
      <w:pPr>
        <w:shd w:val="clear" w:color="auto" w:fill="FFFFFF"/>
        <w:spacing w:after="150" w:line="240" w:lineRule="auto"/>
        <w:ind w:left="2160"/>
        <w:rPr>
          <w:rFonts w:ascii="Arial" w:hAnsi="Arial" w:eastAsia="Times New Roman" w:cs="Arial"/>
          <w:i/>
          <w:iCs/>
          <w:color w:val="333333"/>
          <w:kern w:val="0"/>
          <w:sz w:val="20"/>
          <w:szCs w:val="20"/>
          <w14:ligatures w14:val="none"/>
        </w:rPr>
      </w:pPr>
      <w:r>
        <w:rPr>
          <w:rFonts w:ascii="Arial" w:hAnsi="Arial" w:eastAsia="Times New Roman" w:cs="Arial"/>
          <w:i/>
          <w:iCs/>
          <w:color w:val="333333"/>
          <w:kern w:val="0"/>
          <w:sz w:val="20"/>
          <w:szCs w:val="20"/>
          <w14:ligatures w14:val="none"/>
        </w:rPr>
        <w:t>Floor/Room number: 3rd floor, 303 room</w:t>
      </w:r>
      <w:r>
        <w:rPr>
          <w:rFonts w:ascii="Arial" w:hAnsi="Arial" w:eastAsia="Times New Roman" w:cs="Arial"/>
          <w:i/>
          <w:iCs/>
          <w:color w:val="333333"/>
          <w:kern w:val="0"/>
          <w:sz w:val="20"/>
          <w:szCs w:val="20"/>
          <w14:ligatures w14:val="none"/>
        </w:rPr>
        <w:tab/>
      </w:r>
    </w:p>
    <w:p w14:paraId="5075E2C4">
      <w:pPr>
        <w:shd w:val="clear" w:color="auto" w:fill="FFFFFF"/>
        <w:spacing w:after="150" w:line="240" w:lineRule="auto"/>
        <w:ind w:left="2160"/>
        <w:rPr>
          <w:rFonts w:ascii="Arial" w:hAnsi="Arial" w:eastAsia="Times New Roman" w:cs="Arial"/>
          <w:i/>
          <w:iCs/>
          <w:color w:val="333333"/>
          <w:kern w:val="0"/>
          <w:sz w:val="20"/>
          <w:szCs w:val="20"/>
          <w14:ligatures w14:val="none"/>
        </w:rPr>
      </w:pPr>
      <w:r>
        <w:rPr>
          <w:rFonts w:ascii="Arial" w:hAnsi="Arial" w:eastAsia="Times New Roman" w:cs="Arial"/>
          <w:i/>
          <w:iCs/>
          <w:color w:val="333333"/>
          <w:kern w:val="0"/>
          <w:sz w:val="20"/>
          <w:szCs w:val="20"/>
          <w14:ligatures w14:val="none"/>
        </w:rPr>
        <w:t>City: Dushanbe</w:t>
      </w:r>
    </w:p>
    <w:p w14:paraId="55894B53">
      <w:pPr>
        <w:shd w:val="clear" w:color="auto" w:fill="FFFFFF"/>
        <w:spacing w:after="150" w:line="240" w:lineRule="auto"/>
        <w:ind w:left="2160"/>
        <w:rPr>
          <w:rFonts w:ascii="Arial" w:hAnsi="Arial" w:eastAsia="Times New Roman" w:cs="Arial"/>
          <w:i/>
          <w:iCs/>
          <w:color w:val="333333"/>
          <w:kern w:val="0"/>
          <w:sz w:val="20"/>
          <w:szCs w:val="20"/>
          <w14:ligatures w14:val="none"/>
        </w:rPr>
      </w:pPr>
      <w:r>
        <w:rPr>
          <w:rFonts w:ascii="Arial" w:hAnsi="Arial" w:eastAsia="Times New Roman" w:cs="Arial"/>
          <w:i/>
          <w:iCs/>
          <w:color w:val="333333"/>
          <w:kern w:val="0"/>
          <w:sz w:val="20"/>
          <w:szCs w:val="20"/>
          <w14:ligatures w14:val="none"/>
        </w:rPr>
        <w:t>ZIP Code: 734018</w:t>
      </w:r>
    </w:p>
    <w:p w14:paraId="0F1B8BFE">
      <w:pPr>
        <w:shd w:val="clear" w:color="auto" w:fill="FFFFFF"/>
        <w:spacing w:after="150" w:line="240" w:lineRule="auto"/>
        <w:ind w:left="2160"/>
        <w:rPr>
          <w:rFonts w:ascii="Arial" w:hAnsi="Arial" w:eastAsia="Times New Roman" w:cs="Arial"/>
          <w:i/>
          <w:iCs/>
          <w:color w:val="333333"/>
          <w:kern w:val="0"/>
          <w:sz w:val="20"/>
          <w:szCs w:val="20"/>
          <w14:ligatures w14:val="none"/>
        </w:rPr>
      </w:pPr>
      <w:r>
        <w:rPr>
          <w:rFonts w:ascii="Arial" w:hAnsi="Arial" w:eastAsia="Times New Roman" w:cs="Arial"/>
          <w:i/>
          <w:iCs/>
          <w:color w:val="333333"/>
          <w:kern w:val="0"/>
          <w:sz w:val="20"/>
          <w:szCs w:val="20"/>
          <w14:ligatures w14:val="none"/>
        </w:rPr>
        <w:t>Country: :  Tajikistan</w:t>
      </w:r>
    </w:p>
    <w:p w14:paraId="2ED644C6">
      <w:pPr>
        <w:shd w:val="clear" w:color="auto" w:fill="FFFFFF"/>
        <w:spacing w:after="150" w:line="240" w:lineRule="auto"/>
        <w:ind w:left="2160"/>
        <w:rPr>
          <w:rFonts w:ascii="Arial" w:hAnsi="Arial" w:eastAsia="Times New Roman" w:cs="Arial"/>
          <w:i/>
          <w:iCs/>
          <w:color w:val="333333"/>
          <w:kern w:val="0"/>
          <w:sz w:val="20"/>
          <w:szCs w:val="20"/>
          <w14:ligatures w14:val="none"/>
        </w:rPr>
      </w:pPr>
      <w:r>
        <w:rPr>
          <w:rFonts w:ascii="Arial" w:hAnsi="Arial" w:eastAsia="Times New Roman" w:cs="Arial"/>
          <w:i/>
          <w:iCs/>
          <w:color w:val="333333"/>
          <w:kern w:val="0"/>
          <w:sz w:val="20"/>
          <w:szCs w:val="20"/>
          <w14:ligatures w14:val="none"/>
        </w:rPr>
        <w:t xml:space="preserve">Electronic mail address: </w:t>
      </w:r>
      <w:r>
        <w:fldChar w:fldCharType="begin"/>
      </w:r>
      <w:r>
        <w:instrText xml:space="preserve">HYPERLINK "mailto:OTR@andoz.tj"</w:instrText>
      </w:r>
      <w:r>
        <w:fldChar w:fldCharType="separate"/>
      </w:r>
      <w:r>
        <w:rPr>
          <w:rFonts w:ascii="Arial" w:hAnsi="Arial" w:eastAsia="Times New Roman" w:cs="Arial"/>
          <w:i/>
          <w:iCs/>
          <w:color w:val="333333"/>
          <w:kern w:val="0"/>
          <w:sz w:val="20"/>
          <w:szCs w:val="20"/>
          <w:lang w:eastAsia="ru-RU"/>
          <w14:ligatures w14:val="none"/>
        </w:rPr>
        <w:t>OTR@andoz.tj</w:t>
      </w:r>
      <w:r>
        <w:rPr>
          <w:rFonts w:ascii="Arial" w:hAnsi="Arial" w:eastAsia="Times New Roman" w:cs="Arial"/>
          <w:i/>
          <w:iCs/>
          <w:color w:val="333333"/>
          <w:kern w:val="0"/>
          <w:sz w:val="20"/>
          <w:szCs w:val="20"/>
          <w:lang w:eastAsia="ru-RU"/>
          <w14:ligatures w14:val="none"/>
        </w:rPr>
        <w:fldChar w:fldCharType="end"/>
      </w:r>
    </w:p>
    <w:p w14:paraId="6D192DED">
      <w:pPr>
        <w:shd w:val="clear" w:color="auto" w:fill="FFFFFF"/>
        <w:spacing w:after="150" w:line="240" w:lineRule="auto"/>
        <w:rPr>
          <w:rFonts w:ascii="Arial" w:hAnsi="Arial" w:eastAsia="Times New Roman" w:cs="Arial"/>
          <w:color w:val="333333"/>
          <w:kern w:val="0"/>
          <w:sz w:val="20"/>
          <w:szCs w:val="20"/>
          <w14:ligatures w14:val="none"/>
        </w:rPr>
      </w:pPr>
      <w:r>
        <w:rPr>
          <w:rFonts w:ascii="Arial" w:hAnsi="Arial" w:eastAsia="Times New Roman" w:cs="Arial"/>
          <w:color w:val="333333"/>
          <w:kern w:val="0"/>
          <w:sz w:val="20"/>
          <w:szCs w:val="20"/>
          <w14:ligatures w14:val="none"/>
        </w:rPr>
        <w:t>The document will be sent by </w:t>
      </w:r>
      <w:r>
        <w:rPr>
          <w:rFonts w:ascii="Arial" w:hAnsi="Arial" w:eastAsia="Times New Roman" w:cs="Arial"/>
          <w:b/>
          <w:bCs/>
          <w:i/>
          <w:iCs/>
          <w:color w:val="333333"/>
          <w:kern w:val="0"/>
          <w:sz w:val="20"/>
          <w:szCs w:val="20"/>
          <w14:ligatures w14:val="none"/>
        </w:rPr>
        <w:t>e-mail in PDF format to all interested bidders</w:t>
      </w:r>
      <w:r>
        <w:rPr>
          <w:rFonts w:ascii="Arial" w:hAnsi="Arial" w:eastAsia="Times New Roman" w:cs="Arial"/>
          <w:color w:val="333333"/>
          <w:kern w:val="0"/>
          <w:sz w:val="20"/>
          <w:szCs w:val="20"/>
          <w14:ligatures w14:val="none"/>
        </w:rPr>
        <w:t>.</w:t>
      </w:r>
    </w:p>
    <w:p w14:paraId="7A03E0AB">
      <w:pPr>
        <w:pStyle w:val="5"/>
        <w:numPr>
          <w:ilvl w:val="0"/>
          <w:numId w:val="1"/>
        </w:numPr>
        <w:shd w:val="clear" w:color="auto" w:fill="FFFFFF"/>
        <w:spacing w:after="150" w:line="240" w:lineRule="auto"/>
        <w:jc w:val="both"/>
        <w:rPr>
          <w:rFonts w:ascii="Arial" w:hAnsi="Arial" w:eastAsia="Times New Roman" w:cs="Arial"/>
          <w:color w:val="333333"/>
          <w:kern w:val="0"/>
          <w:sz w:val="20"/>
          <w:szCs w:val="20"/>
          <w14:ligatures w14:val="none"/>
        </w:rPr>
      </w:pPr>
      <w:r>
        <w:rPr>
          <w:rFonts w:ascii="Arial" w:hAnsi="Arial" w:eastAsia="Times New Roman" w:cs="Arial"/>
          <w:color w:val="333333"/>
          <w:kern w:val="0"/>
          <w:sz w:val="20"/>
          <w:szCs w:val="20"/>
          <w14:ligatures w14:val="none"/>
        </w:rPr>
        <w:t>Bids must be delivered to the address below on or before</w:t>
      </w:r>
      <w:r>
        <w:rPr>
          <w:rFonts w:ascii="Arial" w:hAnsi="Arial" w:eastAsia="Times New Roman" w:cs="Arial"/>
          <w:b/>
          <w:bCs/>
          <w:i/>
          <w:iCs/>
          <w:color w:val="333333"/>
          <w:kern w:val="0"/>
          <w:sz w:val="20"/>
          <w:szCs w:val="20"/>
          <w14:ligatures w14:val="none"/>
        </w:rPr>
        <w:t> </w:t>
      </w:r>
      <w:r>
        <w:rPr>
          <w:rFonts w:hint="default" w:ascii="Arial" w:hAnsi="Arial" w:eastAsia="Times New Roman" w:cs="Arial"/>
          <w:b/>
          <w:bCs/>
          <w:i/>
          <w:iCs/>
          <w:color w:val="333333"/>
          <w:kern w:val="0"/>
          <w:sz w:val="20"/>
          <w:szCs w:val="20"/>
          <w:lang w:val="en-US"/>
          <w14:ligatures w14:val="none"/>
        </w:rPr>
        <w:t>30</w:t>
      </w:r>
      <w:r>
        <w:rPr>
          <w:rFonts w:ascii="Arial" w:hAnsi="Arial" w:eastAsia="Times New Roman" w:cs="Arial"/>
          <w:b/>
          <w:bCs/>
          <w:i/>
          <w:iCs/>
          <w:color w:val="333333"/>
          <w:kern w:val="0"/>
          <w:sz w:val="20"/>
          <w:szCs w:val="20"/>
          <w14:ligatures w14:val="none"/>
        </w:rPr>
        <w:t>.09.2024</w:t>
      </w:r>
      <w:r>
        <w:rPr>
          <w:rFonts w:ascii="Arial" w:hAnsi="Arial" w:eastAsia="Times New Roman" w:cs="Arial"/>
          <w:i/>
          <w:iCs/>
          <w:color w:val="333333"/>
          <w:kern w:val="0"/>
          <w:sz w:val="20"/>
          <w:szCs w:val="20"/>
          <w14:ligatures w14:val="none"/>
        </w:rPr>
        <w:t>.</w:t>
      </w:r>
      <w:r>
        <w:rPr>
          <w:rFonts w:ascii="Arial" w:hAnsi="Arial" w:eastAsia="Times New Roman" w:cs="Arial"/>
          <w:color w:val="333333"/>
          <w:kern w:val="0"/>
          <w:sz w:val="20"/>
          <w:szCs w:val="20"/>
          <w14:ligatures w14:val="none"/>
        </w:rPr>
        <w:t> Electronic Bidding </w:t>
      </w:r>
      <w:r>
        <w:rPr>
          <w:rFonts w:ascii="Arial" w:hAnsi="Arial" w:eastAsia="Times New Roman" w:cs="Arial"/>
          <w:b/>
          <w:bCs/>
          <w:i/>
          <w:iCs/>
          <w:color w:val="333333"/>
          <w:kern w:val="0"/>
          <w:sz w:val="20"/>
          <w:szCs w:val="20"/>
          <w14:ligatures w14:val="none"/>
        </w:rPr>
        <w:t>will not </w:t>
      </w:r>
      <w:r>
        <w:rPr>
          <w:rFonts w:ascii="Arial" w:hAnsi="Arial" w:eastAsia="Times New Roman" w:cs="Arial"/>
          <w:color w:val="333333"/>
          <w:kern w:val="0"/>
          <w:sz w:val="20"/>
          <w:szCs w:val="20"/>
          <w14:ligatures w14:val="none"/>
        </w:rPr>
        <w:t>be permitted. Late Bids will be rejected. The outer Bid envelopes marked “Original Bid” (</w:t>
      </w:r>
      <w:r>
        <w:rPr>
          <w:rFonts w:ascii="Arial" w:hAnsi="Arial" w:eastAsia="Times New Roman" w:cs="Arial"/>
          <w:b/>
          <w:bCs/>
          <w:i/>
          <w:iCs/>
          <w:color w:val="333333"/>
          <w:kern w:val="0"/>
          <w:sz w:val="20"/>
          <w:szCs w:val="20"/>
          <w14:ligatures w14:val="none"/>
        </w:rPr>
        <w:t>with indication of Lot 1 or Lot 2 or Lot 3 or both</w:t>
      </w:r>
      <w:r>
        <w:rPr>
          <w:rFonts w:ascii="Arial" w:hAnsi="Arial" w:eastAsia="Times New Roman" w:cs="Arial"/>
          <w:color w:val="333333"/>
          <w:kern w:val="0"/>
          <w:sz w:val="20"/>
          <w:szCs w:val="20"/>
          <w14:ligatures w14:val="none"/>
        </w:rPr>
        <w:t>), and the inner envelopes marked “</w:t>
      </w:r>
      <w:r>
        <w:rPr>
          <w:rFonts w:ascii="Arial" w:hAnsi="Arial" w:eastAsia="Times New Roman" w:cs="Arial"/>
          <w:b/>
          <w:bCs/>
          <w:color w:val="333333"/>
          <w:kern w:val="0"/>
          <w:sz w:val="20"/>
          <w:szCs w:val="20"/>
          <w14:ligatures w14:val="none"/>
        </w:rPr>
        <w:t>Technical Part</w:t>
      </w:r>
      <w:r>
        <w:rPr>
          <w:rFonts w:ascii="Arial" w:hAnsi="Arial" w:eastAsia="Times New Roman" w:cs="Arial"/>
          <w:color w:val="333333"/>
          <w:kern w:val="0"/>
          <w:sz w:val="20"/>
          <w:szCs w:val="20"/>
          <w14:ligatures w14:val="none"/>
        </w:rPr>
        <w:t>” will be publicly opened in the presence of the Bidders’ designated representatives and anyone who chooses to attend, at the address below. All envelopes marked “Second Envelope: </w:t>
      </w:r>
      <w:r>
        <w:rPr>
          <w:rFonts w:ascii="Arial" w:hAnsi="Arial" w:eastAsia="Times New Roman" w:cs="Arial"/>
          <w:b/>
          <w:bCs/>
          <w:color w:val="333333"/>
          <w:kern w:val="0"/>
          <w:sz w:val="20"/>
          <w:szCs w:val="20"/>
          <w14:ligatures w14:val="none"/>
        </w:rPr>
        <w:t>Financial Part</w:t>
      </w:r>
      <w:r>
        <w:rPr>
          <w:rFonts w:ascii="Arial" w:hAnsi="Arial" w:eastAsia="Times New Roman" w:cs="Arial"/>
          <w:color w:val="333333"/>
          <w:kern w:val="0"/>
          <w:sz w:val="20"/>
          <w:szCs w:val="20"/>
          <w14:ligatures w14:val="none"/>
        </w:rPr>
        <w:t xml:space="preserve">” shall remain unopened and will be held in safe custody of the Purchaser until the second public opening. </w:t>
      </w:r>
    </w:p>
    <w:p w14:paraId="5F20C4DB">
      <w:pPr>
        <w:pStyle w:val="5"/>
        <w:shd w:val="clear" w:color="auto" w:fill="FFFFFF"/>
        <w:spacing w:after="150" w:line="240" w:lineRule="auto"/>
        <w:jc w:val="both"/>
        <w:rPr>
          <w:rFonts w:ascii="Arial" w:hAnsi="Arial" w:eastAsia="Times New Roman" w:cs="Arial"/>
          <w:color w:val="333333"/>
          <w:kern w:val="0"/>
          <w:sz w:val="20"/>
          <w:szCs w:val="20"/>
          <w14:ligatures w14:val="none"/>
        </w:rPr>
      </w:pPr>
    </w:p>
    <w:p w14:paraId="01CEFED4">
      <w:pPr>
        <w:pStyle w:val="5"/>
        <w:numPr>
          <w:ilvl w:val="0"/>
          <w:numId w:val="2"/>
        </w:numPr>
        <w:spacing w:after="60"/>
        <w:jc w:val="both"/>
        <w:rPr>
          <w:iCs/>
        </w:rPr>
      </w:pPr>
      <w:r>
        <w:rPr>
          <w:rFonts w:ascii="Arial" w:hAnsi="Arial" w:eastAsia="Times New Roman" w:cs="Arial"/>
          <w:color w:val="333333"/>
          <w:kern w:val="0"/>
          <w:sz w:val="20"/>
          <w:szCs w:val="20"/>
          <w14:ligatures w14:val="none"/>
        </w:rPr>
        <w:t>All Bids must be accompanied by a </w:t>
      </w:r>
      <w:r>
        <w:rPr>
          <w:rFonts w:ascii="Arial" w:hAnsi="Arial" w:eastAsia="Times New Roman" w:cs="Arial"/>
          <w:i/>
          <w:iCs/>
          <w:color w:val="333333"/>
          <w:kern w:val="0"/>
          <w:sz w:val="20"/>
          <w:szCs w:val="20"/>
          <w14:ligatures w14:val="none"/>
        </w:rPr>
        <w:t>Bid Security </w:t>
      </w:r>
      <w:r>
        <w:rPr>
          <w:rFonts w:ascii="Arial" w:hAnsi="Arial" w:eastAsia="Times New Roman" w:cs="Arial"/>
          <w:color w:val="333333"/>
          <w:kern w:val="0"/>
          <w:sz w:val="20"/>
          <w:szCs w:val="20"/>
          <w14:ligatures w14:val="none"/>
        </w:rPr>
        <w:t>of:</w:t>
      </w:r>
      <w:r>
        <w:rPr>
          <w:rFonts w:ascii="Arial" w:hAnsi="Arial" w:eastAsia="Times New Roman" w:cs="Arial"/>
          <w:b/>
          <w:bCs/>
          <w:i/>
          <w:iCs/>
          <w:color w:val="333333"/>
          <w:kern w:val="0"/>
          <w:sz w:val="20"/>
          <w:szCs w:val="20"/>
          <w14:ligatures w14:val="none"/>
        </w:rPr>
        <w:t> </w:t>
      </w:r>
    </w:p>
    <w:p w14:paraId="7D12C47B">
      <w:pPr>
        <w:pStyle w:val="5"/>
        <w:numPr>
          <w:ilvl w:val="0"/>
          <w:numId w:val="3"/>
        </w:numPr>
        <w:spacing w:after="60"/>
        <w:jc w:val="both"/>
        <w:rPr>
          <w:rFonts w:ascii="Arial" w:hAnsi="Arial" w:eastAsia="Times New Roman" w:cs="Arial"/>
          <w:color w:val="333333"/>
          <w:kern w:val="0"/>
          <w:sz w:val="20"/>
          <w:szCs w:val="20"/>
          <w14:ligatures w14:val="none"/>
        </w:rPr>
      </w:pPr>
      <w:r>
        <w:rPr>
          <w:rFonts w:ascii="Arial" w:hAnsi="Arial" w:eastAsia="Times New Roman" w:cs="Arial"/>
          <w:b/>
          <w:bCs/>
          <w:color w:val="333333"/>
          <w:kern w:val="0"/>
          <w:sz w:val="20"/>
          <w:szCs w:val="20"/>
          <w14:ligatures w14:val="none"/>
        </w:rPr>
        <w:t xml:space="preserve">Lot 1: </w:t>
      </w:r>
      <w:r>
        <w:rPr>
          <w:rFonts w:ascii="Arial" w:hAnsi="Arial" w:eastAsia="Times New Roman" w:cs="Arial"/>
          <w:color w:val="333333"/>
          <w:kern w:val="0"/>
          <w:sz w:val="20"/>
          <w:szCs w:val="20"/>
          <w14:ligatures w14:val="none"/>
        </w:rPr>
        <w:t>Software– USD2,000.00 or the equivalent in freely convertible currency or bid currency</w:t>
      </w:r>
    </w:p>
    <w:p w14:paraId="5408AF1A">
      <w:pPr>
        <w:pStyle w:val="5"/>
        <w:numPr>
          <w:ilvl w:val="0"/>
          <w:numId w:val="3"/>
        </w:numPr>
        <w:spacing w:after="60"/>
        <w:jc w:val="both"/>
        <w:rPr>
          <w:rFonts w:ascii="Arial" w:hAnsi="Arial" w:eastAsia="Times New Roman" w:cs="Arial"/>
          <w:color w:val="333333"/>
          <w:kern w:val="0"/>
          <w:sz w:val="20"/>
          <w:szCs w:val="20"/>
          <w14:ligatures w14:val="none"/>
        </w:rPr>
      </w:pPr>
      <w:r>
        <w:rPr>
          <w:rFonts w:ascii="Arial" w:hAnsi="Arial" w:eastAsia="Times New Roman" w:cs="Arial"/>
          <w:b/>
          <w:bCs/>
          <w:color w:val="333333"/>
          <w:kern w:val="0"/>
          <w:sz w:val="20"/>
          <w:szCs w:val="20"/>
          <w14:ligatures w14:val="none"/>
        </w:rPr>
        <w:t>Lot 2:</w:t>
      </w:r>
      <w:r>
        <w:rPr>
          <w:rFonts w:ascii="Arial" w:hAnsi="Arial" w:eastAsia="Times New Roman" w:cs="Arial"/>
          <w:color w:val="333333"/>
          <w:kern w:val="0"/>
          <w:sz w:val="20"/>
          <w:szCs w:val="20"/>
          <w14:ligatures w14:val="none"/>
        </w:rPr>
        <w:t xml:space="preserve"> Network switches – USD12,000.00 or the equivalent in another freely convertible currency </w:t>
      </w:r>
    </w:p>
    <w:p w14:paraId="6C325222">
      <w:pPr>
        <w:pStyle w:val="5"/>
        <w:numPr>
          <w:ilvl w:val="0"/>
          <w:numId w:val="3"/>
        </w:numPr>
        <w:tabs>
          <w:tab w:val="right" w:pos="7254"/>
        </w:tabs>
        <w:spacing w:before="120" w:after="120"/>
        <w:jc w:val="both"/>
        <w:rPr>
          <w:rFonts w:ascii="Arial" w:hAnsi="Arial" w:eastAsia="Times New Roman" w:cs="Arial"/>
          <w:color w:val="333333"/>
          <w:kern w:val="0"/>
          <w:sz w:val="20"/>
          <w:szCs w:val="20"/>
          <w14:ligatures w14:val="none"/>
        </w:rPr>
      </w:pPr>
      <w:r>
        <w:rPr>
          <w:rFonts w:ascii="Arial" w:hAnsi="Arial" w:eastAsia="Times New Roman" w:cs="Arial"/>
          <w:b/>
          <w:bCs/>
          <w:color w:val="333333"/>
          <w:kern w:val="0"/>
          <w:sz w:val="20"/>
          <w:szCs w:val="20"/>
          <w14:ligatures w14:val="none"/>
        </w:rPr>
        <w:t>Lot 3:</w:t>
      </w:r>
      <w:r>
        <w:rPr>
          <w:rFonts w:ascii="Arial" w:hAnsi="Arial" w:eastAsia="Times New Roman" w:cs="Arial"/>
          <w:color w:val="333333"/>
          <w:kern w:val="0"/>
          <w:sz w:val="20"/>
          <w:szCs w:val="20"/>
          <w14:ligatures w14:val="none"/>
        </w:rPr>
        <w:t xml:space="preserve"> servers and storage – USD38,000.00 or the equivalent in another freely convertible currency </w:t>
      </w:r>
    </w:p>
    <w:p w14:paraId="06DB6E89">
      <w:pPr>
        <w:pStyle w:val="5"/>
        <w:tabs>
          <w:tab w:val="right" w:pos="7254"/>
        </w:tabs>
        <w:spacing w:before="120" w:after="120"/>
        <w:jc w:val="both"/>
        <w:rPr>
          <w:rFonts w:ascii="Arial" w:hAnsi="Arial" w:eastAsia="Times New Roman" w:cs="Arial"/>
          <w:color w:val="333333"/>
          <w:kern w:val="0"/>
          <w:sz w:val="20"/>
          <w:szCs w:val="20"/>
          <w14:ligatures w14:val="none"/>
        </w:rPr>
      </w:pPr>
    </w:p>
    <w:p w14:paraId="2D898F57">
      <w:pPr>
        <w:pStyle w:val="5"/>
        <w:numPr>
          <w:ilvl w:val="0"/>
          <w:numId w:val="4"/>
        </w:numPr>
        <w:shd w:val="clear" w:color="auto" w:fill="FFFFFF"/>
        <w:spacing w:after="150" w:line="240" w:lineRule="auto"/>
        <w:jc w:val="both"/>
        <w:rPr>
          <w:rFonts w:ascii="Arial" w:hAnsi="Arial" w:eastAsia="Times New Roman" w:cs="Arial"/>
          <w:color w:val="333333"/>
          <w:kern w:val="0"/>
          <w:sz w:val="20"/>
          <w:szCs w:val="20"/>
          <w14:ligatures w14:val="none"/>
        </w:rPr>
      </w:pPr>
      <w:r>
        <w:rPr>
          <w:rFonts w:ascii="Arial" w:hAnsi="Arial" w:eastAsia="Times New Roman" w:cs="Arial"/>
          <w:color w:val="333333"/>
          <w:kern w:val="0"/>
          <w:sz w:val="20"/>
          <w:szCs w:val="20"/>
          <w14:ligatures w14:val="none"/>
        </w:rPr>
        <w:t xml:space="preserve">Attention is drawn to the Procurement Regulations requiring the Borrower to disclose information on the successful bidder’s beneficial ownership, as part of the Contract Award Notice, using the Beneficial Ownership Disclosure Form as included in the bidding document. </w:t>
      </w:r>
    </w:p>
    <w:p w14:paraId="6E98E0A3">
      <w:pPr>
        <w:pStyle w:val="5"/>
        <w:shd w:val="clear" w:color="auto" w:fill="FFFFFF"/>
        <w:spacing w:after="150" w:line="240" w:lineRule="auto"/>
        <w:ind w:left="780"/>
        <w:jc w:val="both"/>
        <w:rPr>
          <w:rFonts w:ascii="Arial" w:hAnsi="Arial" w:eastAsia="Times New Roman" w:cs="Arial"/>
          <w:color w:val="333333"/>
          <w:kern w:val="0"/>
          <w:sz w:val="20"/>
          <w:szCs w:val="20"/>
          <w14:ligatures w14:val="none"/>
        </w:rPr>
      </w:pPr>
    </w:p>
    <w:p w14:paraId="65013968">
      <w:pPr>
        <w:pStyle w:val="5"/>
        <w:numPr>
          <w:ilvl w:val="0"/>
          <w:numId w:val="4"/>
        </w:numPr>
        <w:shd w:val="clear" w:color="auto" w:fill="FFFFFF"/>
        <w:spacing w:after="150" w:line="240" w:lineRule="auto"/>
        <w:jc w:val="both"/>
        <w:rPr>
          <w:rFonts w:ascii="Arial" w:hAnsi="Arial" w:eastAsia="Times New Roman" w:cs="Arial"/>
          <w:color w:val="333333"/>
          <w:kern w:val="0"/>
          <w:sz w:val="20"/>
          <w:szCs w:val="20"/>
          <w14:ligatures w14:val="none"/>
        </w:rPr>
      </w:pPr>
      <w:r>
        <w:rPr>
          <w:rFonts w:ascii="Arial" w:hAnsi="Arial" w:eastAsia="Times New Roman" w:cs="Arial"/>
          <w:color w:val="333333"/>
          <w:kern w:val="0"/>
          <w:sz w:val="20"/>
          <w:szCs w:val="20"/>
          <w14:ligatures w14:val="none"/>
        </w:rPr>
        <w:t>The address referred to above is ):</w:t>
      </w:r>
    </w:p>
    <w:p w14:paraId="7B043E9E">
      <w:pPr>
        <w:shd w:val="clear" w:color="auto" w:fill="FFFFFF"/>
        <w:spacing w:after="150" w:line="240" w:lineRule="auto"/>
        <w:rPr>
          <w:rFonts w:ascii="Arial" w:hAnsi="Arial" w:eastAsia="Times New Roman" w:cs="Arial"/>
          <w:color w:val="333333"/>
          <w:kern w:val="0"/>
          <w:sz w:val="20"/>
          <w:szCs w:val="20"/>
          <w14:ligatures w14:val="none"/>
        </w:rPr>
      </w:pPr>
      <w:r>
        <w:rPr>
          <w:rFonts w:ascii="Arial" w:hAnsi="Arial" w:eastAsia="Times New Roman" w:cs="Arial"/>
          <w:b/>
          <w:bCs/>
          <w:i/>
          <w:iCs/>
          <w:color w:val="333333"/>
          <w:kern w:val="0"/>
          <w:sz w:val="20"/>
          <w:szCs w:val="20"/>
          <w14:ligatures w14:val="none"/>
        </w:rPr>
        <w:t>State Investment Committee and</w:t>
      </w:r>
    </w:p>
    <w:p w14:paraId="6CE32C8E">
      <w:pPr>
        <w:shd w:val="clear" w:color="auto" w:fill="FFFFFF"/>
        <w:spacing w:after="150" w:line="240" w:lineRule="auto"/>
        <w:rPr>
          <w:rFonts w:ascii="Arial" w:hAnsi="Arial" w:eastAsia="Times New Roman" w:cs="Arial"/>
          <w:color w:val="333333"/>
          <w:kern w:val="0"/>
          <w:sz w:val="20"/>
          <w:szCs w:val="20"/>
          <w14:ligatures w14:val="none"/>
        </w:rPr>
      </w:pPr>
      <w:r>
        <w:rPr>
          <w:rFonts w:ascii="Arial" w:hAnsi="Arial" w:eastAsia="Times New Roman" w:cs="Arial"/>
          <w:b/>
          <w:bCs/>
          <w:i/>
          <w:iCs/>
          <w:color w:val="333333"/>
          <w:kern w:val="0"/>
          <w:sz w:val="20"/>
          <w:szCs w:val="20"/>
          <w14:ligatures w14:val="none"/>
        </w:rPr>
        <w:t>State property management of the Republic of Tajikistan</w:t>
      </w:r>
    </w:p>
    <w:p w14:paraId="623138D9">
      <w:pPr>
        <w:shd w:val="clear" w:color="auto" w:fill="FFFFFF"/>
        <w:spacing w:after="150" w:line="240" w:lineRule="auto"/>
        <w:rPr>
          <w:rFonts w:ascii="Arial" w:hAnsi="Arial" w:eastAsia="Times New Roman" w:cs="Arial"/>
          <w:color w:val="333333"/>
          <w:kern w:val="0"/>
          <w:sz w:val="20"/>
          <w:szCs w:val="20"/>
          <w14:ligatures w14:val="none"/>
        </w:rPr>
      </w:pPr>
      <w:r>
        <w:rPr>
          <w:rFonts w:ascii="Arial" w:hAnsi="Arial" w:eastAsia="Times New Roman" w:cs="Arial"/>
          <w:b/>
          <w:bCs/>
          <w:i/>
          <w:iCs/>
          <w:color w:val="333333"/>
          <w:kern w:val="0"/>
          <w:sz w:val="20"/>
          <w:szCs w:val="20"/>
          <w14:ligatures w14:val="none"/>
        </w:rPr>
        <w:t>27 Shotemur street,</w:t>
      </w:r>
      <w:r>
        <w:rPr>
          <w:rFonts w:ascii="Arial" w:hAnsi="Arial" w:eastAsia="Times New Roman" w:cs="Arial"/>
          <w:color w:val="333333"/>
          <w:kern w:val="0"/>
          <w:sz w:val="20"/>
          <w:szCs w:val="20"/>
          <w14:ligatures w14:val="none"/>
        </w:rPr>
        <w:t> 1</w:t>
      </w:r>
      <w:r>
        <w:rPr>
          <w:rFonts w:ascii="Arial" w:hAnsi="Arial" w:eastAsia="Times New Roman" w:cs="Arial"/>
          <w:b/>
          <w:bCs/>
          <w:i/>
          <w:iCs/>
          <w:color w:val="333333"/>
          <w:kern w:val="0"/>
          <w:sz w:val="20"/>
          <w:szCs w:val="20"/>
          <w14:ligatures w14:val="none"/>
        </w:rPr>
        <w:t> (first) floor, tender box No 1</w:t>
      </w:r>
    </w:p>
    <w:p w14:paraId="155EC104">
      <w:pPr>
        <w:shd w:val="clear" w:color="auto" w:fill="FFFFFF"/>
        <w:spacing w:after="150" w:line="240" w:lineRule="auto"/>
        <w:rPr>
          <w:rFonts w:ascii="Arial" w:hAnsi="Arial" w:eastAsia="Times New Roman" w:cs="Arial"/>
          <w:color w:val="333333"/>
          <w:kern w:val="0"/>
          <w:sz w:val="20"/>
          <w:szCs w:val="20"/>
          <w14:ligatures w14:val="none"/>
        </w:rPr>
      </w:pPr>
      <w:r>
        <w:rPr>
          <w:rFonts w:ascii="Arial" w:hAnsi="Arial" w:eastAsia="Times New Roman" w:cs="Arial"/>
          <w:b/>
          <w:bCs/>
          <w:i/>
          <w:iCs/>
          <w:color w:val="333333"/>
          <w:kern w:val="0"/>
          <w:sz w:val="20"/>
          <w:szCs w:val="20"/>
          <w14:ligatures w14:val="none"/>
        </w:rPr>
        <w:t>734025</w:t>
      </w:r>
      <w:r>
        <w:rPr>
          <w:rFonts w:ascii="Arial" w:hAnsi="Arial" w:eastAsia="Times New Roman" w:cs="Arial"/>
          <w:color w:val="333333"/>
          <w:kern w:val="0"/>
          <w:sz w:val="20"/>
          <w:szCs w:val="20"/>
          <w14:ligatures w14:val="none"/>
        </w:rPr>
        <w:t>, </w:t>
      </w:r>
      <w:r>
        <w:rPr>
          <w:rFonts w:ascii="Arial" w:hAnsi="Arial" w:eastAsia="Times New Roman" w:cs="Arial"/>
          <w:b/>
          <w:bCs/>
          <w:i/>
          <w:iCs/>
          <w:color w:val="333333"/>
          <w:kern w:val="0"/>
          <w:sz w:val="20"/>
          <w:szCs w:val="20"/>
          <w14:ligatures w14:val="none"/>
        </w:rPr>
        <w:t>Dushanbe,</w:t>
      </w:r>
      <w:r>
        <w:rPr>
          <w:rFonts w:ascii="Arial" w:hAnsi="Arial" w:eastAsia="Times New Roman" w:cs="Arial"/>
          <w:color w:val="333333"/>
          <w:kern w:val="0"/>
          <w:sz w:val="20"/>
          <w:szCs w:val="20"/>
          <w14:ligatures w14:val="none"/>
        </w:rPr>
        <w:t> </w:t>
      </w:r>
      <w:r>
        <w:rPr>
          <w:rFonts w:ascii="Arial" w:hAnsi="Arial" w:eastAsia="Times New Roman" w:cs="Arial"/>
          <w:b/>
          <w:bCs/>
          <w:i/>
          <w:iCs/>
          <w:color w:val="333333"/>
          <w:kern w:val="0"/>
          <w:sz w:val="20"/>
          <w:szCs w:val="20"/>
          <w14:ligatures w14:val="none"/>
        </w:rPr>
        <w:t>Tajikistan</w:t>
      </w:r>
    </w:p>
    <w:p w14:paraId="6F1F644F"/>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ail">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845CE"/>
    <w:multiLevelType w:val="multilevel"/>
    <w:tmpl w:val="0FA845CE"/>
    <w:lvl w:ilvl="0" w:tentative="0">
      <w:start w:val="1"/>
      <w:numFmt w:val="decimal"/>
      <w:lvlText w:val="%1."/>
      <w:lvlJc w:val="left"/>
      <w:pPr>
        <w:ind w:left="720" w:hanging="360"/>
      </w:pPr>
      <w:rPr>
        <w:rFonts w:hint="default" w:ascii="Arail" w:hAnsi="Arail"/>
        <w:b/>
        <w:bCs/>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51D0A8C"/>
    <w:multiLevelType w:val="multilevel"/>
    <w:tmpl w:val="551D0A8C"/>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7604918"/>
    <w:multiLevelType w:val="multilevel"/>
    <w:tmpl w:val="57604918"/>
    <w:lvl w:ilvl="0" w:tentative="0">
      <w:start w:val="9"/>
      <w:numFmt w:val="decimal"/>
      <w:lvlText w:val="%1."/>
      <w:lvlJc w:val="left"/>
      <w:pPr>
        <w:ind w:left="780" w:hanging="360"/>
      </w:pPr>
      <w:rPr>
        <w:rFonts w:hint="default"/>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3">
    <w:nsid w:val="7AC532B1"/>
    <w:multiLevelType w:val="multilevel"/>
    <w:tmpl w:val="7AC532B1"/>
    <w:lvl w:ilvl="0" w:tentative="0">
      <w:start w:val="8"/>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EE"/>
    <w:rsid w:val="00014AC0"/>
    <w:rsid w:val="000815EE"/>
    <w:rsid w:val="000E4757"/>
    <w:rsid w:val="002359E8"/>
    <w:rsid w:val="00421439"/>
    <w:rsid w:val="004244D7"/>
    <w:rsid w:val="00461050"/>
    <w:rsid w:val="004A2D27"/>
    <w:rsid w:val="004E2358"/>
    <w:rsid w:val="00674E7F"/>
    <w:rsid w:val="00911738"/>
    <w:rsid w:val="00AC017F"/>
    <w:rsid w:val="00AD0EBC"/>
    <w:rsid w:val="00CD7D38"/>
    <w:rsid w:val="00DE5DD2"/>
    <w:rsid w:val="00E92F7F"/>
    <w:rsid w:val="23115284"/>
    <w:rsid w:val="25B224A4"/>
    <w:rsid w:val="3DB5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 w:type="paragraph" w:customStyle="1" w:styleId="6">
    <w:name w:val="Revision"/>
    <w:hidden/>
    <w:unhideWhenUsed/>
    <w:qFormat/>
    <w:uiPriority w:val="99"/>
    <w:rPr>
      <w:rFonts w:asciiTheme="minorHAnsi" w:hAnsiTheme="minorHAnsi" w:eastAsiaTheme="minorHAnsi" w:cstheme="minorBidi"/>
      <w:kern w:val="2"/>
      <w:sz w:val="22"/>
      <w:szCs w:val="22"/>
      <w:lang w:val="en-US" w:eastAsia="en-US"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WBG</Company>
  <Pages>2</Pages>
  <Words>608</Words>
  <Characters>3469</Characters>
  <Lines>28</Lines>
  <Paragraphs>8</Paragraphs>
  <TotalTime>817</TotalTime>
  <ScaleCrop>false</ScaleCrop>
  <LinksUpToDate>false</LinksUpToDate>
  <CharactersWithSpaces>4069</CharactersWithSpaces>
  <Application>WPS Office_12.2.0.18545_F1E327BC-269C-435d-A152-05C5408002CA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2024-08-16T05:41:00Z</dcterms:created>
  <dc:creator>Ekaterina Odinaeva</dc:creator>
  <cp:lastModifiedBy>Sangina Davlyatova</cp:lastModifiedBy>
  <dcterms:modified xsi:type="dcterms:W3CDTF">2024-09-28T04:35:53Z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1049-12.2.0.18545</vt:lpwstr>
  </property>
  <property fmtid="{D5CDD505-2E9C-101B-9397-08002B2CF9AE}" pid="3" name="ICV">
    <vt:lpwstr>7FCF0139CDAA44239AD1D4332670B971_13</vt:lpwstr>
  </property>
</Properties>
</file>