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Specific Procurement Notice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Request for Bids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Plant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Design, Supply and Installation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(Two-envelope Bidding Process, Without Prequalification)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Purchaser: Ministry of Transport of the Republic of Tajikistan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Project: Fourth Phase of the Central Asia Regional Link Program - Sugd oblast and GBAO Region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(CARS-4)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Contract title: Design, Supply and installation of Weight and Dimensional Control system, Weigh-in</w:t>
      </w:r>
      <w:r w:rsidRPr="00A254B8">
        <w:rPr>
          <w:lang w:val="en-US"/>
        </w:rPr>
        <w:t>motion (WIM) equipment along Dushanbe - Tursunzade highway and Dushanbe – Bokhtar highway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Country: Republic of Tajikistan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Grant No.: IDA-D6990-TJ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RFB No: CARs-4/RFB-GOODS-03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Issued on: 13 January, 2025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1. The Republic of Tajikistan (Borrower) has received a financing from the International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Development Association (IDA) (the “Bank”) toward the cost of Fourth Phase of the Central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Asia Regional Link Program – Sugd oblast and GBAO Region (CARS-4), and intends to apply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part of the proceeds toward payments under the contract for Design, Supply and installation of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Weight and Dimensional Control system, Weigh-in-motion (WIM) equipment along Dushanbe -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Tursunzade highway and Dushanbe – Bokhtar highway</w:t>
      </w:r>
      <w:proofErr w:type="gramStart"/>
      <w:r w:rsidRPr="00A254B8">
        <w:rPr>
          <w:lang w:val="en-US"/>
        </w:rPr>
        <w:t>. .</w:t>
      </w:r>
      <w:proofErr w:type="gramEnd"/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2. The Ministry of Transport of the Republic of Tajikistan now invites sealed Bids from eligible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Bidders for Design, supply and installation of the Weight and Dimensional Control system,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Weigh-in-motion (WIM) equipment for the Ministry of Transport of Tajikistan. The place of final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destination is State Unitary Enterprise “Center for Digitalization of the Transport Sector” of the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Ministry of Transport: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i. eastern gate of Dushanbe city, Choryakkoron village (400 m after the main turnoff to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Choryakoron village), Dushanbe - Tursunzade highway), and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ii. southern gate of Dushanbe city, Gulbutta village (500 m before the southern gates),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Dushnabe – Bokhtar highway.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3. Bidding will be conducted through international competitive procurement using Request for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Bids (RFB) as specified in the World Bank’s “Procurement Regulations for IPF Borrowers”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dated September 2023 (“Procurement Regulations”), and is open to all eligible Bidders as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defined in the Procurement Regulations.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lastRenderedPageBreak/>
        <w:t>4. Interested eligible Bidders may obtain further information from and inspect the bidding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document during office hours 08:00 to 17:00 hours at the address given in para 9 below and at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the link https://drive.google.com/drive/folders/1h325FBsSZZJIHIjBmKB</w:t>
      </w:r>
      <w:r w:rsidRPr="00A254B8">
        <w:rPr>
          <w:lang w:val="en-US"/>
        </w:rPr>
        <w:t>57PgA6Ft2SbR?usp=sharing .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5. The bidding documents in English in PDF format may be downloaded using the link below: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Link: https://drive.google.com/drive/folders/1h325FBsSZZJIHIjBmKB</w:t>
      </w:r>
      <w:r w:rsidRPr="00A254B8">
        <w:rPr>
          <w:lang w:val="en-US"/>
        </w:rPr>
        <w:t>57PgA6Ft2SbR?usp=sharing.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6. Bids must be delivered to the address given in para 9 below on or before 14:00 (Local time), 28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February 2025. Electronic bidding will not be permitted. Late Bids will be rejected. The outer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Bid envelopes marked “ORIGINAL PROPOSAL”, and the inner envelopes marked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“TECHNICAL PART” will be publicly opened in the presence of the Bidder’s designated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representatives and anyone who chooses to attend at the address below, on 14:00 (local time) on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28 February 2025. All envelopes marked “FINANCIAL PART” shall remain unopened and will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be held in safe custody of the Purchaser until the second public Bidding opening.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7. All Bids must be accompanied by a Bid Security of US$ 60 000.00 (sixty thousand United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States Dollars) or the equivalent in other freely convertible currency.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8. Attention is drawn to the Procurement Regulations requiring the Borrower to disclose information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on the successful bidder’s beneficial ownership, as part of the Contract Award Notice, using the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Beneficial Ownership Disclosure Form as included in the bidding document.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9. The address (es) referred to above (are):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I. To obtain further information from and inspect the bidding document Under para 4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Ministry of Transport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Republic of Tajikistan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Project Implementation Group (PIG)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Ayni street 14,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3-rd floor, office #310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Dushanbe, Republic of Tajikistan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E-mail: pitmintranstj@gmail.com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 xml:space="preserve">II. For submission and opening of the Bids Under para 6. 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The State Committee on Investments and State Property Management of the Republic of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Tajikistan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Street address: 27 Shotemur Street</w:t>
      </w:r>
    </w:p>
    <w:p w:rsidR="00A254B8" w:rsidRPr="00A254B8" w:rsidRDefault="00A254B8" w:rsidP="00A254B8">
      <w:pPr>
        <w:rPr>
          <w:lang w:val="en-US"/>
        </w:rPr>
      </w:pPr>
      <w:r w:rsidRPr="00A254B8">
        <w:rPr>
          <w:lang w:val="en-US"/>
        </w:rPr>
        <w:t>Floor/Room number: Ground floor, room No.10, Tender unit</w:t>
      </w:r>
    </w:p>
    <w:p w:rsidR="00A254B8" w:rsidRDefault="00A254B8" w:rsidP="00A254B8">
      <w:proofErr w:type="spellStart"/>
      <w:r>
        <w:t>City</w:t>
      </w:r>
      <w:proofErr w:type="spellEnd"/>
      <w:r>
        <w:t xml:space="preserve">: </w:t>
      </w:r>
      <w:proofErr w:type="spellStart"/>
      <w:r>
        <w:t>Dushanbe</w:t>
      </w:r>
      <w:proofErr w:type="spellEnd"/>
    </w:p>
    <w:p w:rsidR="00A254B8" w:rsidRDefault="00A254B8" w:rsidP="00A254B8">
      <w:proofErr w:type="spellStart"/>
      <w:r>
        <w:lastRenderedPageBreak/>
        <w:t>Postal</w:t>
      </w:r>
      <w:proofErr w:type="spellEnd"/>
      <w:r>
        <w:t xml:space="preserve"> </w:t>
      </w:r>
      <w:proofErr w:type="spellStart"/>
      <w:r>
        <w:t>code</w:t>
      </w:r>
      <w:proofErr w:type="spellEnd"/>
      <w:r>
        <w:t>: 734025</w:t>
      </w:r>
    </w:p>
    <w:p w:rsidR="00C52AB9" w:rsidRDefault="00A254B8" w:rsidP="00A254B8">
      <w:proofErr w:type="spellStart"/>
      <w:r>
        <w:t>Country</w:t>
      </w:r>
      <w:proofErr w:type="spellEnd"/>
      <w:r>
        <w:t xml:space="preserve">: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Tajikistan</w:t>
      </w:r>
      <w:bookmarkStart w:id="0" w:name="_GoBack"/>
      <w:bookmarkEnd w:id="0"/>
      <w:proofErr w:type="spellEnd"/>
    </w:p>
    <w:sectPr w:rsidR="00C5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B9"/>
    <w:rsid w:val="006B24F7"/>
    <w:rsid w:val="009B573A"/>
    <w:rsid w:val="00A254B8"/>
    <w:rsid w:val="00A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F459F-1E81-41B0-B647-1D23B5F1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2025-01-14T05:48:00Z</dcterms:created>
  <dcterms:modified xsi:type="dcterms:W3CDTF">2025-01-14T05:49:00Z</dcterms:modified>
</cp:coreProperties>
</file>