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3C55" w14:textId="26C665A8" w:rsidR="003A11C5" w:rsidRPr="006E457A" w:rsidRDefault="003A11C5" w:rsidP="003A11C5">
      <w:pPr>
        <w:jc w:val="center"/>
        <w:rPr>
          <w:rFonts w:ascii="Times New Roman" w:eastAsia="Times New Roman" w:hAnsi="Times New Roman" w:cs="Times New Roman"/>
          <w:b/>
          <w:bCs/>
          <w:color w:val="000000" w:themeColor="text1"/>
          <w:kern w:val="0"/>
          <w:sz w:val="32"/>
          <w:szCs w:val="32"/>
          <w:lang w:val="tg-Cyrl-TJ"/>
          <w14:ligatures w14:val="none"/>
        </w:rPr>
      </w:pPr>
      <w:bookmarkStart w:id="0" w:name="_Toc47629205"/>
      <w:r w:rsidRPr="006E457A">
        <w:rPr>
          <w:rFonts w:ascii="Times New Roman" w:eastAsia="Times New Roman" w:hAnsi="Times New Roman" w:cs="Times New Roman"/>
          <w:b/>
          <w:bCs/>
          <w:color w:val="000000" w:themeColor="text1"/>
          <w:kern w:val="0"/>
          <w:sz w:val="32"/>
          <w:szCs w:val="32"/>
          <w:lang w:val="en-US"/>
          <w14:ligatures w14:val="none"/>
        </w:rPr>
        <w:t>Invitation for Bids</w:t>
      </w:r>
      <w:bookmarkEnd w:id="0"/>
    </w:p>
    <w:p w14:paraId="23380EE7" w14:textId="15DB4D31" w:rsidR="00011BBE" w:rsidRPr="00511513" w:rsidRDefault="00011BBE" w:rsidP="00011BBE">
      <w:pPr>
        <w:spacing w:before="60" w:after="60"/>
        <w:rPr>
          <w:rFonts w:ascii="Times New Roman" w:hAnsi="Times New Roman" w:cs="Times New Roman"/>
          <w:b/>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Employer: </w:t>
      </w:r>
      <w:r w:rsidRPr="00511513">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38A07C4D" w14:textId="5D08B7D1" w:rsidR="00011BBE" w:rsidRPr="00511513" w:rsidRDefault="00011BBE" w:rsidP="00011BBE">
      <w:pPr>
        <w:spacing w:before="60" w:after="60"/>
        <w:rPr>
          <w:rFonts w:ascii="Times New Roman" w:hAnsi="Times New Roman" w:cs="Times New Roman"/>
          <w:bCs/>
          <w:iCs/>
          <w:color w:val="000000" w:themeColor="text1"/>
          <w:sz w:val="24"/>
          <w:szCs w:val="24"/>
          <w:lang w:val="en-US"/>
        </w:rPr>
      </w:pPr>
      <w:r w:rsidRPr="00511513">
        <w:rPr>
          <w:rFonts w:ascii="Times New Roman" w:hAnsi="Times New Roman" w:cs="Times New Roman"/>
          <w:b/>
          <w:iCs/>
          <w:color w:val="000000" w:themeColor="text1"/>
          <w:sz w:val="24"/>
          <w:szCs w:val="24"/>
          <w:lang w:val="en-US"/>
        </w:rPr>
        <w:t>Project:</w:t>
      </w:r>
      <w:r w:rsidRPr="00511513">
        <w:rPr>
          <w:rFonts w:ascii="Times New Roman" w:hAnsi="Times New Roman" w:cs="Times New Roman"/>
          <w:b/>
          <w:bCs/>
          <w:iCs/>
          <w:color w:val="000000" w:themeColor="text1"/>
          <w:sz w:val="24"/>
          <w:szCs w:val="24"/>
          <w:lang w:val="en-US"/>
        </w:rPr>
        <w:t xml:space="preserve"> </w:t>
      </w:r>
      <w:r w:rsidRPr="00511513">
        <w:rPr>
          <w:rFonts w:ascii="Times New Roman" w:hAnsi="Times New Roman" w:cs="Times New Roman"/>
          <w:iCs/>
          <w:color w:val="000000" w:themeColor="text1"/>
          <w:sz w:val="24"/>
          <w:szCs w:val="24"/>
          <w:lang w:val="en-US"/>
        </w:rPr>
        <w:t>“Community-Based Agricultural Support Project+”</w:t>
      </w:r>
    </w:p>
    <w:p w14:paraId="7FCD5B47" w14:textId="71DBC1B9"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Contract title: </w:t>
      </w:r>
      <w:r w:rsidRPr="00511513">
        <w:rPr>
          <w:rFonts w:ascii="Times New Roman" w:hAnsi="Times New Roman" w:cs="Times New Roman"/>
          <w:iCs/>
          <w:color w:val="000000" w:themeColor="text1"/>
          <w:sz w:val="24"/>
          <w:szCs w:val="24"/>
          <w:lang w:val="en-US"/>
        </w:rPr>
        <w:t xml:space="preserve">Procurement of </w:t>
      </w:r>
      <w:r w:rsidR="007A6480">
        <w:rPr>
          <w:rFonts w:ascii="Times New Roman" w:hAnsi="Times New Roman" w:cs="Times New Roman"/>
          <w:iCs/>
          <w:color w:val="000000" w:themeColor="text1"/>
          <w:sz w:val="24"/>
          <w:szCs w:val="24"/>
          <w:lang w:val="en-US"/>
        </w:rPr>
        <w:t>Agriculture Machinery</w:t>
      </w:r>
      <w:r w:rsidR="009A6711" w:rsidRPr="00511513">
        <w:rPr>
          <w:rFonts w:ascii="Times New Roman" w:hAnsi="Times New Roman" w:cs="Times New Roman"/>
          <w:iCs/>
          <w:color w:val="000000" w:themeColor="text1"/>
          <w:sz w:val="24"/>
          <w:szCs w:val="24"/>
          <w:lang w:val="en-US"/>
        </w:rPr>
        <w:t xml:space="preserve"> for Committee for Environmental Protection under the Government of the Republic of Tajikistan (CEP), Forestry Agency, and JFM Groups</w:t>
      </w:r>
    </w:p>
    <w:p w14:paraId="0433B3AC" w14:textId="531B01F3"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Country: </w:t>
      </w:r>
      <w:r w:rsidRPr="00511513">
        <w:rPr>
          <w:rFonts w:ascii="Times New Roman" w:hAnsi="Times New Roman" w:cs="Times New Roman"/>
          <w:iCs/>
          <w:color w:val="000000" w:themeColor="text1"/>
          <w:sz w:val="24"/>
          <w:szCs w:val="24"/>
          <w:lang w:val="en-US"/>
        </w:rPr>
        <w:t>Dushanbe,</w:t>
      </w:r>
      <w:r w:rsidRPr="00511513">
        <w:rPr>
          <w:rFonts w:ascii="Times New Roman" w:hAnsi="Times New Roman" w:cs="Times New Roman"/>
          <w:iCs/>
          <w:sz w:val="24"/>
          <w:szCs w:val="24"/>
          <w:lang w:val="en-CA"/>
        </w:rPr>
        <w:t xml:space="preserve"> </w:t>
      </w:r>
      <w:r w:rsidRPr="00511513">
        <w:rPr>
          <w:rFonts w:ascii="Times New Roman" w:hAnsi="Times New Roman" w:cs="Times New Roman"/>
          <w:iCs/>
          <w:color w:val="000000" w:themeColor="text1"/>
          <w:sz w:val="24"/>
          <w:szCs w:val="24"/>
          <w:lang w:val="en-US"/>
        </w:rPr>
        <w:t>Republic of Tajikistan</w:t>
      </w:r>
    </w:p>
    <w:p w14:paraId="31B4A2D0" w14:textId="77777777" w:rsidR="00011BBE" w:rsidRPr="00511513" w:rsidRDefault="00011BBE" w:rsidP="00011BBE">
      <w:pPr>
        <w:spacing w:before="60" w:after="60"/>
        <w:rPr>
          <w:rFonts w:ascii="Times New Roman" w:hAnsi="Times New Roman" w:cs="Times New Roman"/>
          <w:b/>
          <w:iCs/>
          <w:caps/>
          <w:sz w:val="24"/>
          <w:szCs w:val="24"/>
          <w:lang w:val="en-US"/>
        </w:rPr>
      </w:pPr>
      <w:r w:rsidRPr="00511513">
        <w:rPr>
          <w:rFonts w:ascii="Times New Roman" w:hAnsi="Times New Roman" w:cs="Times New Roman"/>
          <w:b/>
          <w:iCs/>
          <w:noProof/>
          <w:color w:val="000000" w:themeColor="text1"/>
          <w:sz w:val="24"/>
          <w:szCs w:val="24"/>
          <w:lang w:val="en-US"/>
        </w:rPr>
        <w:t>Grant No.:</w:t>
      </w:r>
      <w:r w:rsidRPr="00511513">
        <w:rPr>
          <w:rFonts w:ascii="Times New Roman" w:hAnsi="Times New Roman" w:cs="Times New Roman"/>
          <w:iCs/>
          <w:color w:val="000000" w:themeColor="text1"/>
          <w:sz w:val="24"/>
          <w:szCs w:val="24"/>
          <w:lang w:val="en-US"/>
        </w:rPr>
        <w:t xml:space="preserve"> 2000004422</w:t>
      </w:r>
    </w:p>
    <w:p w14:paraId="354D131B" w14:textId="270EE456"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RFB No: </w:t>
      </w:r>
      <w:r w:rsidR="009A6711" w:rsidRPr="00511513">
        <w:rPr>
          <w:rFonts w:ascii="Times New Roman" w:hAnsi="Times New Roman" w:cs="Times New Roman"/>
          <w:iCs/>
          <w:color w:val="000000" w:themeColor="text1"/>
          <w:sz w:val="24"/>
          <w:szCs w:val="24"/>
          <w:lang w:val="en-US"/>
        </w:rPr>
        <w:t>CASP+/CEP/E&amp;G/ICB-2025/0</w:t>
      </w:r>
      <w:r w:rsidR="007A6480">
        <w:rPr>
          <w:rFonts w:ascii="Times New Roman" w:hAnsi="Times New Roman" w:cs="Times New Roman"/>
          <w:iCs/>
          <w:color w:val="000000" w:themeColor="text1"/>
          <w:sz w:val="24"/>
          <w:szCs w:val="24"/>
          <w:lang w:val="en-US"/>
        </w:rPr>
        <w:t>3</w:t>
      </w:r>
    </w:p>
    <w:p w14:paraId="6690556F" w14:textId="77777777" w:rsidR="00011BBE" w:rsidRPr="006E457A" w:rsidRDefault="00011BBE" w:rsidP="00011BBE">
      <w:pPr>
        <w:spacing w:before="60" w:after="60"/>
        <w:rPr>
          <w:rFonts w:ascii="Times New Roman" w:hAnsi="Times New Roman" w:cs="Times New Roman"/>
          <w:b/>
          <w:color w:val="000000" w:themeColor="text1"/>
          <w:sz w:val="24"/>
          <w:szCs w:val="24"/>
          <w:lang w:val="en-US"/>
        </w:rPr>
      </w:pPr>
    </w:p>
    <w:p w14:paraId="7675E8A6" w14:textId="665F0DFB" w:rsidR="00941FAD" w:rsidRPr="00511513" w:rsidRDefault="00941FAD" w:rsidP="00941FAD">
      <w:pPr>
        <w:numPr>
          <w:ilvl w:val="0"/>
          <w:numId w:val="2"/>
        </w:numPr>
        <w:spacing w:after="200" w:line="240" w:lineRule="auto"/>
        <w:contextualSpacing/>
        <w:jc w:val="both"/>
        <w:rPr>
          <w:rFonts w:ascii="Arial" w:eastAsia="MS Mincho" w:hAnsi="Arial" w:cs="Arial"/>
          <w:sz w:val="24"/>
          <w:szCs w:val="24"/>
          <w:lang w:val="en-CA"/>
          <w14:ligatures w14:val="none"/>
        </w:rPr>
      </w:pPr>
      <w:r w:rsidRPr="00941FAD">
        <w:rPr>
          <w:rFonts w:ascii="Arial" w:eastAsia="MS Mincho" w:hAnsi="Arial" w:cs="Arial"/>
          <w:sz w:val="24"/>
          <w:szCs w:val="24"/>
          <w:lang w:val="en-CA"/>
          <w14:ligatures w14:val="none"/>
        </w:rPr>
        <w:t xml:space="preserve">The </w:t>
      </w:r>
      <w:r w:rsidRPr="00511513">
        <w:rPr>
          <w:rFonts w:ascii="Arial" w:eastAsia="MS Mincho" w:hAnsi="Arial" w:cs="Arial"/>
          <w:sz w:val="24"/>
          <w:szCs w:val="24"/>
          <w:lang w:val="en-CA"/>
          <w14:ligatures w14:val="none"/>
        </w:rPr>
        <w:t>Republic of Tajikistan has received financing from the International Fund for Agricultural Development (IFAD) towards the cost of Community-based Agriculture Support Project “</w:t>
      </w:r>
      <w:r w:rsidR="00511513" w:rsidRPr="00511513">
        <w:rPr>
          <w:rFonts w:ascii="Arial" w:eastAsia="MS Mincho" w:hAnsi="Arial" w:cs="Arial"/>
          <w:sz w:val="24"/>
          <w:szCs w:val="24"/>
          <w:lang w:val="en-CA"/>
          <w14:ligatures w14:val="none"/>
        </w:rPr>
        <w:t>P</w:t>
      </w:r>
      <w:r w:rsidRPr="00511513">
        <w:rPr>
          <w:rFonts w:ascii="Arial" w:eastAsia="MS Mincho" w:hAnsi="Arial" w:cs="Arial"/>
          <w:sz w:val="24"/>
          <w:szCs w:val="24"/>
          <w:lang w:val="en-CA"/>
          <w14:ligatures w14:val="none"/>
        </w:rPr>
        <w:t>lus” (CASP+) and intends to apply part of the financing for the purchase of these goods. The use of any IFAD financing shall be subject to IFAD’s approval, pursuant to the terms and conditions of the financing agreement, as well as IFAD’s rules, policies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procedures. IFAD and its officials, agents</w:t>
      </w:r>
      <w:r w:rsid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employees shall be held harmless from and against all suits, proceedings, claims, demands, losses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liability of any kind or nature brought by any party in connection with Community-based Agriculture Support Project “plus” (CASP+).</w:t>
      </w:r>
    </w:p>
    <w:p w14:paraId="246B0EA9" w14:textId="3DFACF9B" w:rsidR="00941FAD" w:rsidRPr="00511513" w:rsidRDefault="00941FAD" w:rsidP="00941FAD">
      <w:pPr>
        <w:numPr>
          <w:ilvl w:val="0"/>
          <w:numId w:val="2"/>
        </w:numPr>
        <w:spacing w:before="120" w:after="120" w:line="240" w:lineRule="auto"/>
        <w:jc w:val="both"/>
        <w:rPr>
          <w:rFonts w:ascii="Arial" w:eastAsia="Times New Roman" w:hAnsi="Arial" w:cs="Arial"/>
          <w:i/>
          <w:iCs/>
          <w:kern w:val="0"/>
          <w:sz w:val="24"/>
          <w:szCs w:val="24"/>
          <w:lang w:val="en-US"/>
          <w14:ligatures w14:val="none"/>
        </w:rPr>
      </w:pPr>
      <w:r w:rsidRPr="00511513">
        <w:rPr>
          <w:rFonts w:ascii="Arial" w:eastAsia="Times New Roman" w:hAnsi="Arial" w:cs="Arial"/>
          <w:kern w:val="0"/>
          <w:sz w:val="24"/>
          <w:szCs w:val="24"/>
          <w:lang w:val="en-US"/>
          <w14:ligatures w14:val="none"/>
        </w:rPr>
        <w:t xml:space="preserve">The Community-based Agriculture Support Project “plus” (CASP+) includes </w:t>
      </w:r>
      <w:r w:rsidRPr="00511513">
        <w:rPr>
          <w:rFonts w:ascii="Arial" w:eastAsia="Times New Roman" w:hAnsi="Arial" w:cs="Arial"/>
          <w:kern w:val="0"/>
          <w:sz w:val="24"/>
          <w:szCs w:val="24"/>
          <w:lang w:val="en-GB"/>
          <w14:ligatures w14:val="none"/>
        </w:rPr>
        <w:t>selected districts of Sughd, Khatlon</w:t>
      </w:r>
      <w:r w:rsidR="00511513" w:rsidRPr="00511513">
        <w:rPr>
          <w:rFonts w:ascii="Arial" w:eastAsia="Times New Roman" w:hAnsi="Arial" w:cs="Arial"/>
          <w:kern w:val="0"/>
          <w:sz w:val="24"/>
          <w:szCs w:val="24"/>
          <w:lang w:val="en-GB"/>
          <w14:ligatures w14:val="none"/>
        </w:rPr>
        <w:t>,</w:t>
      </w:r>
      <w:r w:rsidRPr="00511513">
        <w:rPr>
          <w:rFonts w:ascii="Arial" w:eastAsia="Times New Roman" w:hAnsi="Arial" w:cs="Arial"/>
          <w:kern w:val="0"/>
          <w:sz w:val="24"/>
          <w:szCs w:val="24"/>
          <w:lang w:val="en-GB"/>
          <w14:ligatures w14:val="none"/>
        </w:rPr>
        <w:t xml:space="preserve"> and DRS, which have high poverty levels, yet potential for agriculture development</w:t>
      </w:r>
      <w:r w:rsidRPr="00511513">
        <w:rPr>
          <w:rFonts w:ascii="Arial" w:eastAsia="Times New Roman" w:hAnsi="Arial" w:cs="Arial"/>
          <w:kern w:val="0"/>
          <w:sz w:val="24"/>
          <w:szCs w:val="24"/>
          <w:lang w:val="en-US"/>
          <w14:ligatures w14:val="none"/>
        </w:rPr>
        <w:t>.</w:t>
      </w:r>
    </w:p>
    <w:p w14:paraId="3A1E21AB" w14:textId="43893CC0"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This IFB follows the general procurement notice that appeared on the </w:t>
      </w:r>
      <w:r w:rsidR="00FD1D1A" w:rsidRPr="00607074">
        <w:rPr>
          <w:rFonts w:ascii="Arial" w:eastAsia="Times New Roman" w:hAnsi="Arial" w:cs="Arial"/>
          <w:kern w:val="0"/>
          <w:sz w:val="24"/>
          <w:szCs w:val="24"/>
          <w:lang w:val="en-GB"/>
          <w14:ligatures w14:val="none"/>
        </w:rPr>
        <w:t>State Committee on Investments and State Property Management of the Republic of Tajikistan</w:t>
      </w:r>
      <w:r w:rsidR="00FD1D1A" w:rsidRPr="00FD1D1A">
        <w:rPr>
          <w:rFonts w:ascii="Arial" w:eastAsia="Times New Roman" w:hAnsi="Arial" w:cs="Arial"/>
          <w:kern w:val="0"/>
          <w:sz w:val="24"/>
          <w:szCs w:val="24"/>
          <w:lang w:val="en-GB"/>
          <w14:ligatures w14:val="none"/>
        </w:rPr>
        <w:t xml:space="preserve"> </w:t>
      </w:r>
      <w:r w:rsidRPr="00941FAD">
        <w:rPr>
          <w:rFonts w:ascii="Arial" w:eastAsia="Times New Roman" w:hAnsi="Arial" w:cs="Arial"/>
          <w:kern w:val="0"/>
          <w:sz w:val="24"/>
          <w:szCs w:val="24"/>
          <w:lang w:val="en-GB"/>
          <w14:ligatures w14:val="none"/>
        </w:rPr>
        <w:t>website on</w:t>
      </w:r>
      <w:r w:rsidR="005E3750">
        <w:rPr>
          <w:rFonts w:ascii="Arial" w:eastAsia="Times New Roman" w:hAnsi="Arial" w:cs="Arial"/>
          <w:kern w:val="0"/>
          <w:sz w:val="24"/>
          <w:szCs w:val="24"/>
          <w:lang w:val="en-GB"/>
          <w14:ligatures w14:val="none"/>
        </w:rPr>
        <w:t xml:space="preserve"> </w:t>
      </w:r>
      <w:r w:rsidR="007A6480" w:rsidRPr="004116B0">
        <w:rPr>
          <w:rFonts w:ascii="Arial" w:eastAsia="Times New Roman" w:hAnsi="Arial" w:cs="Arial"/>
          <w:kern w:val="0"/>
          <w:sz w:val="24"/>
          <w:szCs w:val="24"/>
          <w:lang w:val="en-GB"/>
          <w14:ligatures w14:val="none"/>
        </w:rPr>
        <w:t>May</w:t>
      </w:r>
      <w:r w:rsidR="005E3750" w:rsidRPr="004116B0">
        <w:rPr>
          <w:rFonts w:ascii="Arial" w:eastAsia="Times New Roman" w:hAnsi="Arial" w:cs="Arial"/>
          <w:kern w:val="0"/>
          <w:sz w:val="24"/>
          <w:szCs w:val="24"/>
          <w:lang w:val="en-GB"/>
          <w14:ligatures w14:val="none"/>
        </w:rPr>
        <w:t xml:space="preserve"> </w:t>
      </w:r>
      <w:r w:rsidR="008B31B5" w:rsidRPr="004116B0">
        <w:rPr>
          <w:rFonts w:ascii="Arial" w:eastAsia="Times New Roman" w:hAnsi="Arial" w:cs="Arial"/>
          <w:kern w:val="0"/>
          <w:sz w:val="24"/>
          <w:szCs w:val="24"/>
          <w:lang w:val="en-GB"/>
          <w14:ligatures w14:val="none"/>
        </w:rPr>
        <w:t>02</w:t>
      </w:r>
      <w:r w:rsidRPr="004116B0">
        <w:rPr>
          <w:rFonts w:ascii="Arial" w:eastAsia="Times New Roman" w:hAnsi="Arial" w:cs="Arial"/>
          <w:kern w:val="0"/>
          <w:sz w:val="24"/>
          <w:szCs w:val="24"/>
          <w:lang w:val="en-GB"/>
          <w14:ligatures w14:val="none"/>
        </w:rPr>
        <w:t>,</w:t>
      </w:r>
      <w:r w:rsidR="005E3750" w:rsidRPr="004116B0">
        <w:rPr>
          <w:rFonts w:ascii="Arial" w:eastAsia="Times New Roman" w:hAnsi="Arial" w:cs="Arial"/>
          <w:kern w:val="0"/>
          <w:sz w:val="24"/>
          <w:szCs w:val="24"/>
          <w:lang w:val="en-GB"/>
          <w14:ligatures w14:val="none"/>
        </w:rPr>
        <w:t xml:space="preserve"> 2025</w:t>
      </w:r>
      <w:r w:rsidR="005E3750">
        <w:rPr>
          <w:rFonts w:ascii="Arial" w:eastAsia="Times New Roman" w:hAnsi="Arial" w:cs="Arial"/>
          <w:kern w:val="0"/>
          <w:sz w:val="24"/>
          <w:szCs w:val="24"/>
          <w:lang w:val="en-GB"/>
          <w14:ligatures w14:val="none"/>
        </w:rPr>
        <w:t>.</w:t>
      </w:r>
      <w:r w:rsidRPr="00941FAD">
        <w:rPr>
          <w:rFonts w:ascii="Arial" w:eastAsia="Times New Roman" w:hAnsi="Arial" w:cs="Arial"/>
          <w:kern w:val="0"/>
          <w:sz w:val="24"/>
          <w:szCs w:val="24"/>
          <w:lang w:val="en-GB"/>
          <w14:ligatures w14:val="none"/>
        </w:rPr>
        <w:t xml:space="preserve"> </w:t>
      </w:r>
    </w:p>
    <w:p w14:paraId="30FE6068" w14:textId="46430EC8"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purchaser now invites sealed bids from eligible entities (“bidders”) </w:t>
      </w:r>
      <w:r w:rsidRPr="00941FAD">
        <w:rPr>
          <w:rFonts w:ascii="Arial" w:eastAsia="Times New Roman" w:hAnsi="Arial" w:cs="Arial"/>
          <w:spacing w:val="-2"/>
          <w:kern w:val="0"/>
          <w:sz w:val="24"/>
          <w:szCs w:val="24"/>
          <w:lang w:val="en-US"/>
          <w14:ligatures w14:val="none"/>
        </w:rPr>
        <w:t xml:space="preserve">for the provision of </w:t>
      </w:r>
      <w:r w:rsidR="007A6480">
        <w:rPr>
          <w:rFonts w:ascii="Arial" w:eastAsia="Times New Roman" w:hAnsi="Arial" w:cs="Arial"/>
          <w:bCs/>
          <w:spacing w:val="-2"/>
          <w:kern w:val="0"/>
          <w:sz w:val="24"/>
          <w:szCs w:val="24"/>
          <w:lang w:val="en-US"/>
          <w14:ligatures w14:val="none"/>
        </w:rPr>
        <w:t>Agriculture Machinery</w:t>
      </w:r>
      <w:r w:rsidRPr="00511513">
        <w:rPr>
          <w:rFonts w:ascii="Arial" w:eastAsia="Times New Roman" w:hAnsi="Arial" w:cs="Arial"/>
          <w:bCs/>
          <w:spacing w:val="-2"/>
          <w:kern w:val="0"/>
          <w:sz w:val="24"/>
          <w:szCs w:val="24"/>
          <w:lang w:val="en-US"/>
          <w14:ligatures w14:val="none"/>
        </w:rPr>
        <w:t xml:space="preserve"> for CEP, Forestry Agency, and JFM Groups</w:t>
      </w:r>
      <w:r w:rsidRPr="00941FAD">
        <w:rPr>
          <w:rFonts w:ascii="Arial" w:eastAsia="Times New Roman" w:hAnsi="Arial" w:cs="Arial"/>
          <w:kern w:val="0"/>
          <w:sz w:val="24"/>
          <w:szCs w:val="24"/>
          <w:lang w:val="en-US"/>
          <w14:ligatures w14:val="none"/>
        </w:rPr>
        <w:t>. More details on these goods and related services are provided in the schedule of requirements in this bidding document.</w:t>
      </w:r>
    </w:p>
    <w:p w14:paraId="29C553F8"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This IFB is open to all eligible bidders who wish to respond. Subject to the restrictions noted in the bidding document, eligible entities may associate with other bidders to enhance their capacity to successfully deliver the goods and related services.</w:t>
      </w:r>
    </w:p>
    <w:p w14:paraId="123310F0" w14:textId="0763DECE" w:rsidR="00941FAD" w:rsidRDefault="00941FAD" w:rsidP="00941FAD">
      <w:pPr>
        <w:numPr>
          <w:ilvl w:val="0"/>
          <w:numId w:val="2"/>
        </w:numPr>
        <w:spacing w:before="120" w:after="120" w:line="240" w:lineRule="auto"/>
        <w:jc w:val="both"/>
        <w:rPr>
          <w:rFonts w:ascii="Arial" w:eastAsia="Times New Roman" w:hAnsi="Arial" w:cs="Arial"/>
          <w:b/>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goods and related services, and the contract expected to be awarded, are divided into the following lots: </w:t>
      </w:r>
    </w:p>
    <w:p w14:paraId="17691245" w14:textId="77777777" w:rsidR="002E3C80" w:rsidRPr="00180D61" w:rsidRDefault="002E3C80" w:rsidP="002E3C80">
      <w:pPr>
        <w:pStyle w:val="BDSDefault"/>
        <w:numPr>
          <w:ilvl w:val="0"/>
          <w:numId w:val="4"/>
        </w:numPr>
        <w:ind w:left="1276" w:hanging="283"/>
        <w:rPr>
          <w:rFonts w:ascii="Arial" w:hAnsi="Arial" w:cs="Arial"/>
          <w:sz w:val="22"/>
          <w:szCs w:val="22"/>
        </w:rPr>
      </w:pPr>
      <w:r w:rsidRPr="00180D61">
        <w:rPr>
          <w:rFonts w:ascii="Arial" w:hAnsi="Arial" w:cs="Arial"/>
          <w:sz w:val="22"/>
          <w:szCs w:val="22"/>
        </w:rPr>
        <w:t>Lot 1. Wheeled tractors and walking tractors;</w:t>
      </w:r>
    </w:p>
    <w:p w14:paraId="34EEA135" w14:textId="77777777" w:rsidR="002E3C80" w:rsidRPr="00180D61" w:rsidRDefault="002E3C80" w:rsidP="002E3C80">
      <w:pPr>
        <w:pStyle w:val="BDSDefault"/>
        <w:numPr>
          <w:ilvl w:val="0"/>
          <w:numId w:val="4"/>
        </w:numPr>
        <w:ind w:left="1276" w:hanging="283"/>
        <w:rPr>
          <w:rFonts w:ascii="Arial" w:hAnsi="Arial" w:cs="Arial"/>
          <w:sz w:val="22"/>
          <w:szCs w:val="22"/>
        </w:rPr>
      </w:pPr>
      <w:r w:rsidRPr="00180D61">
        <w:rPr>
          <w:rFonts w:ascii="Arial" w:hAnsi="Arial" w:cs="Arial"/>
          <w:sz w:val="22"/>
          <w:szCs w:val="22"/>
        </w:rPr>
        <w:t>Lot 2. Extension equipment;</w:t>
      </w:r>
    </w:p>
    <w:p w14:paraId="41AB3450" w14:textId="77777777" w:rsidR="002E3C80" w:rsidRPr="00180D61" w:rsidRDefault="002E3C80" w:rsidP="002E3C80">
      <w:pPr>
        <w:pStyle w:val="BDSDefault"/>
        <w:numPr>
          <w:ilvl w:val="0"/>
          <w:numId w:val="4"/>
        </w:numPr>
        <w:ind w:left="1276" w:hanging="283"/>
        <w:rPr>
          <w:rFonts w:ascii="Arial" w:hAnsi="Arial" w:cs="Arial"/>
          <w:sz w:val="22"/>
          <w:szCs w:val="22"/>
        </w:rPr>
      </w:pPr>
      <w:r w:rsidRPr="00180D61">
        <w:rPr>
          <w:rFonts w:ascii="Arial" w:hAnsi="Arial" w:cs="Arial"/>
          <w:sz w:val="22"/>
          <w:szCs w:val="22"/>
        </w:rPr>
        <w:t>Lot 3. Trucks for watering;</w:t>
      </w:r>
    </w:p>
    <w:p w14:paraId="6002B488" w14:textId="77777777" w:rsidR="002E3C80" w:rsidRDefault="002E3C80" w:rsidP="002E3C80">
      <w:pPr>
        <w:pStyle w:val="BDSDefault"/>
        <w:numPr>
          <w:ilvl w:val="0"/>
          <w:numId w:val="4"/>
        </w:numPr>
        <w:ind w:left="1276" w:hanging="283"/>
        <w:rPr>
          <w:rFonts w:ascii="Arial" w:hAnsi="Arial" w:cs="Arial"/>
          <w:sz w:val="22"/>
          <w:szCs w:val="22"/>
        </w:rPr>
      </w:pPr>
      <w:r w:rsidRPr="00180D61">
        <w:rPr>
          <w:rFonts w:ascii="Arial" w:hAnsi="Arial" w:cs="Arial"/>
          <w:sz w:val="22"/>
          <w:szCs w:val="22"/>
        </w:rPr>
        <w:t>Lot 4. Wheeled Excavator and Front loader;</w:t>
      </w:r>
    </w:p>
    <w:p w14:paraId="51CCC2A4" w14:textId="51D58533" w:rsidR="002E3C80" w:rsidRPr="002E3C80" w:rsidRDefault="002E3C80" w:rsidP="002E3C80">
      <w:pPr>
        <w:pStyle w:val="CharChar"/>
        <w:numPr>
          <w:ilvl w:val="0"/>
          <w:numId w:val="4"/>
        </w:numPr>
        <w:spacing w:before="120" w:after="120"/>
        <w:ind w:left="1276" w:hanging="283"/>
        <w:jc w:val="both"/>
        <w:rPr>
          <w:rFonts w:ascii="Arial" w:hAnsi="Arial" w:cs="Arial"/>
        </w:rPr>
      </w:pPr>
      <w:r w:rsidRPr="00180D61">
        <w:rPr>
          <w:rFonts w:ascii="Arial" w:hAnsi="Arial" w:cs="Arial"/>
          <w:sz w:val="22"/>
          <w:szCs w:val="22"/>
        </w:rPr>
        <w:t>Lot 5. Cistern, pumps and moto-pumps;</w:t>
      </w:r>
    </w:p>
    <w:p w14:paraId="4C1D715F"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Bidding will be conducted using the </w:t>
      </w:r>
      <w:r w:rsidRPr="00941FAD">
        <w:rPr>
          <w:rFonts w:ascii="Arial" w:eastAsia="Times New Roman" w:hAnsi="Arial" w:cs="Arial"/>
          <w:b/>
          <w:kern w:val="0"/>
          <w:sz w:val="24"/>
          <w:szCs w:val="24"/>
          <w:lang w:val="en-US"/>
          <w14:ligatures w14:val="none"/>
        </w:rPr>
        <w:t xml:space="preserve">International Competitive Bidding (ICB) </w:t>
      </w:r>
      <w:r w:rsidRPr="00941FAD">
        <w:rPr>
          <w:rFonts w:ascii="Arial" w:eastAsia="Times New Roman" w:hAnsi="Arial" w:cs="Arial"/>
          <w:bCs/>
          <w:kern w:val="0"/>
          <w:sz w:val="24"/>
          <w:szCs w:val="24"/>
          <w:lang w:val="en-US"/>
          <w14:ligatures w14:val="none"/>
        </w:rPr>
        <w:t>method</w:t>
      </w:r>
      <w:r w:rsidRPr="00941FAD">
        <w:rPr>
          <w:rFonts w:ascii="Arial" w:eastAsia="Times New Roman" w:hAnsi="Arial" w:cs="Arial"/>
          <w:kern w:val="0"/>
          <w:sz w:val="24"/>
          <w:szCs w:val="24"/>
          <w:lang w:val="en-US"/>
          <w14:ligatures w14:val="none"/>
        </w:rPr>
        <w:t>, the evaluation procedure for which is described in this bidding document, in accordance with the IFAD procurement handbook which is provided on the IFAD website</w:t>
      </w:r>
      <w:r w:rsidRPr="00941FAD">
        <w:rPr>
          <w:rFonts w:ascii="Arial" w:eastAsia="Times New Roman" w:hAnsi="Arial" w:cs="Arial"/>
          <w:i/>
          <w:iCs/>
          <w:color w:val="FF0000"/>
          <w:kern w:val="0"/>
          <w:sz w:val="24"/>
          <w:szCs w:val="24"/>
          <w:lang w:val="en-US"/>
          <w14:ligatures w14:val="none"/>
        </w:rPr>
        <w:t xml:space="preserve"> </w:t>
      </w:r>
      <w:hyperlink r:id="rId5" w:history="1">
        <w:r w:rsidRPr="00941FAD">
          <w:rPr>
            <w:rFonts w:ascii="Arial" w:eastAsia="Times New Roman" w:hAnsi="Arial" w:cs="Arial"/>
            <w:i/>
            <w:iCs/>
            <w:color w:val="0000FF"/>
            <w:kern w:val="0"/>
            <w:sz w:val="24"/>
            <w:szCs w:val="24"/>
            <w:u w:val="single"/>
            <w:lang w:val="en-US"/>
            <w14:ligatures w14:val="none"/>
          </w:rPr>
          <w:t>https://www.ifad.org/en/w/document/ifad-procurement-handbook</w:t>
        </w:r>
      </w:hyperlink>
      <w:r w:rsidRPr="00941FAD">
        <w:rPr>
          <w:rFonts w:ascii="Arial" w:eastAsia="Times New Roman" w:hAnsi="Arial" w:cs="Arial"/>
          <w:kern w:val="0"/>
          <w:sz w:val="24"/>
          <w:szCs w:val="24"/>
          <w:lang w:val="en-US"/>
          <w14:ligatures w14:val="none"/>
        </w:rPr>
        <w:t>. The ICB process, as described, will include a review and verification of qualifications and past performance, including a reference check, prior to the contract award.</w:t>
      </w:r>
    </w:p>
    <w:p w14:paraId="20932D78" w14:textId="77777777" w:rsidR="00941FAD" w:rsidRPr="00941FAD" w:rsidRDefault="00941FAD" w:rsidP="00941FAD">
      <w:pPr>
        <w:numPr>
          <w:ilvl w:val="0"/>
          <w:numId w:val="2"/>
        </w:numPr>
        <w:spacing w:before="120" w:after="120" w:line="240" w:lineRule="auto"/>
        <w:jc w:val="both"/>
        <w:rPr>
          <w:rFonts w:ascii="Arial" w:eastAsia="Times New Roman" w:hAnsi="Arial" w:cs="Arial"/>
          <w:bCs/>
          <w:kern w:val="0"/>
          <w:sz w:val="24"/>
          <w:szCs w:val="24"/>
          <w:lang w:val="en-US"/>
          <w14:ligatures w14:val="none"/>
        </w:rPr>
      </w:pPr>
      <w:r w:rsidRPr="00941FAD">
        <w:rPr>
          <w:rFonts w:ascii="Arial" w:eastAsia="Times New Roman" w:hAnsi="Arial" w:cs="Arial"/>
          <w:kern w:val="0"/>
          <w:sz w:val="24"/>
          <w:szCs w:val="24"/>
          <w:lang w:val="en-US"/>
          <w14:ligatures w14:val="none"/>
        </w:rPr>
        <w:t xml:space="preserve">Please note that a pre-bid conference </w:t>
      </w:r>
      <w:r w:rsidRPr="00511513">
        <w:rPr>
          <w:rFonts w:ascii="Arial" w:eastAsia="Times New Roman" w:hAnsi="Arial" w:cs="Arial"/>
          <w:b/>
          <w:kern w:val="0"/>
          <w:sz w:val="24"/>
          <w:szCs w:val="24"/>
          <w:lang w:val="en-US"/>
          <w14:ligatures w14:val="none"/>
        </w:rPr>
        <w:t>will not</w:t>
      </w:r>
      <w:r w:rsidRPr="00511513">
        <w:rPr>
          <w:rFonts w:ascii="Arial" w:eastAsia="Times New Roman" w:hAnsi="Arial" w:cs="Arial"/>
          <w:kern w:val="0"/>
          <w:sz w:val="24"/>
          <w:szCs w:val="24"/>
          <w:lang w:val="en-US"/>
          <w14:ligatures w14:val="none"/>
        </w:rPr>
        <w:t xml:space="preserve"> </w:t>
      </w:r>
      <w:r w:rsidRPr="00941FAD">
        <w:rPr>
          <w:rFonts w:ascii="Arial" w:eastAsia="Times New Roman" w:hAnsi="Arial" w:cs="Arial"/>
          <w:kern w:val="0"/>
          <w:sz w:val="24"/>
          <w:szCs w:val="24"/>
          <w:lang w:val="en-US"/>
          <w14:ligatures w14:val="none"/>
        </w:rPr>
        <w:t>be held as described in the bid data sheet BDS, Section II of the bidding document.</w:t>
      </w:r>
    </w:p>
    <w:p w14:paraId="3F741840" w14:textId="592566D9" w:rsidR="00941FAD" w:rsidRPr="00941FAD" w:rsidRDefault="00941FAD" w:rsidP="000B7C29">
      <w:pPr>
        <w:numPr>
          <w:ilvl w:val="0"/>
          <w:numId w:val="2"/>
        </w:numPr>
        <w:spacing w:after="0" w:line="240" w:lineRule="auto"/>
        <w:rPr>
          <w:rFonts w:ascii="Arial" w:eastAsia="Times New Roman" w:hAnsi="Arial" w:cs="Arial"/>
          <w:bCs/>
          <w:kern w:val="0"/>
          <w:sz w:val="24"/>
          <w:szCs w:val="24"/>
          <w:lang w:val="en-US"/>
          <w14:ligatures w14:val="none"/>
        </w:rPr>
      </w:pPr>
      <w:r w:rsidRPr="00941FAD">
        <w:rPr>
          <w:rFonts w:ascii="Arial" w:eastAsia="Times New Roman" w:hAnsi="Arial" w:cs="Arial"/>
          <w:bCs/>
          <w:kern w:val="0"/>
          <w:sz w:val="24"/>
          <w:szCs w:val="24"/>
          <w:lang w:val="en-US"/>
          <w14:ligatures w14:val="none"/>
        </w:rPr>
        <w:lastRenderedPageBreak/>
        <w:t xml:space="preserve">Bidders interested in submitting a bid shall purchase the bidding document against payment of a non-refundable fee of </w:t>
      </w:r>
      <w:bookmarkStart w:id="1" w:name="_Hlk192754646"/>
      <w:r w:rsidRPr="00941FAD">
        <w:rPr>
          <w:rFonts w:ascii="Arial" w:eastAsia="Times New Roman" w:hAnsi="Arial" w:cs="Arial"/>
          <w:bCs/>
          <w:kern w:val="0"/>
          <w:sz w:val="24"/>
          <w:szCs w:val="24"/>
          <w:lang w:val="en-US"/>
          <w14:ligatures w14:val="none"/>
        </w:rPr>
        <w:t>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or equivalent to 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w:t>
      </w:r>
      <w:bookmarkEnd w:id="1"/>
      <w:r w:rsidRPr="00941FAD">
        <w:rPr>
          <w:rFonts w:ascii="Arial" w:eastAsia="Times New Roman" w:hAnsi="Arial" w:cs="Arial"/>
          <w:bCs/>
          <w:kern w:val="0"/>
          <w:sz w:val="24"/>
          <w:szCs w:val="24"/>
          <w:lang w:val="en-US"/>
          <w14:ligatures w14:val="none"/>
        </w:rPr>
        <w:t>in Tajik Somoni according to the National Bank of Tajikistan rate at the moment of the payment. The bank details are as follows:</w:t>
      </w:r>
    </w:p>
    <w:p w14:paraId="724D5CB8" w14:textId="44F922AA" w:rsidR="000B1142" w:rsidRPr="006E457A" w:rsidRDefault="000B114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i/>
          <w:color w:val="000000" w:themeColor="text1"/>
          <w:sz w:val="24"/>
          <w:szCs w:val="24"/>
          <w:lang w:val="en-US"/>
        </w:rPr>
      </w:pPr>
      <w:r w:rsidRPr="006E457A">
        <w:rPr>
          <w:rFonts w:ascii="Times New Roman" w:hAnsi="Times New Roman" w:cs="Times New Roman"/>
          <w:b/>
          <w:spacing w:val="-2"/>
          <w:sz w:val="24"/>
          <w:szCs w:val="24"/>
          <w:lang w:val="en-US"/>
        </w:rPr>
        <w:t>Recipient:</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0083266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caps/>
          <w:spacing w:val="-2"/>
          <w:sz w:val="24"/>
          <w:szCs w:val="24"/>
          <w:u w:val="single"/>
          <w:lang w:val="en-US"/>
        </w:rPr>
      </w:pPr>
    </w:p>
    <w:p w14:paraId="32851792" w14:textId="01499FC6" w:rsidR="00AA0FE2" w:rsidRP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u w:val="single"/>
          <w:lang w:val="en-US"/>
        </w:rPr>
      </w:pPr>
      <w:r w:rsidRPr="00AA0FE2">
        <w:rPr>
          <w:rFonts w:ascii="Times New Roman" w:hAnsi="Times New Roman" w:cs="Times New Roman"/>
          <w:b/>
          <w:caps/>
          <w:spacing w:val="-2"/>
          <w:sz w:val="24"/>
          <w:szCs w:val="24"/>
          <w:u w:val="single"/>
          <w:lang w:val="en-US"/>
        </w:rPr>
        <w:t>Account for</w:t>
      </w:r>
      <w:r w:rsidRPr="00AA0FE2">
        <w:rPr>
          <w:rFonts w:ascii="Times New Roman" w:hAnsi="Times New Roman" w:cs="Times New Roman"/>
          <w:b/>
          <w:spacing w:val="-2"/>
          <w:sz w:val="24"/>
          <w:szCs w:val="24"/>
          <w:u w:val="single"/>
          <w:lang w:val="en-US"/>
        </w:rPr>
        <w:t xml:space="preserve"> USD</w:t>
      </w:r>
    </w:p>
    <w:p w14:paraId="2FC05A0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p>
    <w:p w14:paraId="66EFDEF7" w14:textId="36E5FA4E"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Intermediary bank:</w:t>
      </w:r>
      <w:r w:rsidRPr="006E457A">
        <w:rPr>
          <w:rFonts w:ascii="Times New Roman" w:hAnsi="Times New Roman" w:cs="Times New Roman"/>
          <w:spacing w:val="-2"/>
          <w:sz w:val="24"/>
          <w:szCs w:val="24"/>
          <w:lang w:val="en-US"/>
        </w:rPr>
        <w:t xml:space="preserve"> CITIBANK NA,</w:t>
      </w:r>
    </w:p>
    <w:p w14:paraId="6CDB5B35" w14:textId="31549541"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New York</w:t>
      </w:r>
    </w:p>
    <w:p w14:paraId="24AE513F" w14:textId="1632EBD8"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SWIFT: </w:t>
      </w:r>
      <w:r w:rsidR="00524352" w:rsidRPr="006E457A">
        <w:rPr>
          <w:rFonts w:ascii="Times New Roman" w:hAnsi="Times New Roman" w:cs="Times New Roman"/>
          <w:bCs/>
          <w:spacing w:val="-2"/>
          <w:sz w:val="24"/>
          <w:szCs w:val="24"/>
          <w:lang w:val="en-US"/>
        </w:rPr>
        <w:t>CITIUS33</w:t>
      </w:r>
    </w:p>
    <w:p w14:paraId="07260005" w14:textId="77777777"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Account: </w:t>
      </w:r>
      <w:r w:rsidRPr="006E457A">
        <w:rPr>
          <w:rFonts w:ascii="Times New Roman" w:hAnsi="Times New Roman" w:cs="Times New Roman"/>
          <w:bCs/>
          <w:spacing w:val="-2"/>
          <w:sz w:val="24"/>
          <w:szCs w:val="24"/>
          <w:lang w:val="en-US"/>
        </w:rPr>
        <w:t xml:space="preserve">36016987 </w:t>
      </w:r>
    </w:p>
    <w:p w14:paraId="001919B2" w14:textId="69BA6980"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Correspondent Bank: </w:t>
      </w:r>
      <w:r w:rsidR="00926096" w:rsidRPr="006E457A">
        <w:rPr>
          <w:rFonts w:ascii="Times New Roman" w:hAnsi="Times New Roman" w:cs="Times New Roman"/>
          <w:bCs/>
          <w:spacing w:val="-2"/>
          <w:sz w:val="24"/>
          <w:szCs w:val="24"/>
          <w:lang w:val="en-US"/>
        </w:rPr>
        <w:t xml:space="preserve">National Bank for Foreign Economic Activity of the Republic of Uzbekistan </w:t>
      </w:r>
    </w:p>
    <w:p w14:paraId="0862A930"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TASHKENT, UZ</w:t>
      </w:r>
      <w:r w:rsidRPr="006E457A">
        <w:rPr>
          <w:rFonts w:ascii="Times New Roman" w:hAnsi="Times New Roman" w:cs="Times New Roman"/>
          <w:b/>
          <w:spacing w:val="-2"/>
          <w:sz w:val="24"/>
          <w:szCs w:val="24"/>
          <w:lang w:val="en-US"/>
        </w:rPr>
        <w:t xml:space="preserve"> </w:t>
      </w:r>
    </w:p>
    <w:p w14:paraId="0134D770" w14:textId="6BF2DE80"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SWIFT: </w:t>
      </w:r>
      <w:r w:rsidRPr="006E457A">
        <w:rPr>
          <w:rFonts w:ascii="Times New Roman" w:hAnsi="Times New Roman" w:cs="Times New Roman"/>
          <w:bCs/>
          <w:spacing w:val="-2"/>
          <w:sz w:val="24"/>
          <w:szCs w:val="24"/>
          <w:lang w:val="en-US"/>
        </w:rPr>
        <w:t xml:space="preserve">NBFAUZ2XXXX </w:t>
      </w:r>
    </w:p>
    <w:p w14:paraId="55D49359" w14:textId="5F4ED4B3"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Account:</w:t>
      </w:r>
      <w:r w:rsidRPr="006E457A">
        <w:rPr>
          <w:rFonts w:ascii="Times New Roman" w:hAnsi="Times New Roman" w:cs="Times New Roman"/>
          <w:spacing w:val="-2"/>
          <w:sz w:val="24"/>
          <w:szCs w:val="24"/>
          <w:lang w:val="en-US"/>
        </w:rPr>
        <w:t xml:space="preserve">  21002840000090235001</w:t>
      </w:r>
    </w:p>
    <w:p w14:paraId="2D274756" w14:textId="43F68585" w:rsidR="000B1142" w:rsidRPr="006E457A" w:rsidRDefault="0052435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 xml:space="preserve">Beneficiary </w:t>
      </w:r>
      <w:bookmarkStart w:id="2" w:name="_Hlk192757036"/>
      <w:r w:rsidRPr="006E457A">
        <w:rPr>
          <w:rFonts w:ascii="Times New Roman" w:hAnsi="Times New Roman" w:cs="Times New Roman"/>
          <w:b/>
          <w:spacing w:val="-2"/>
          <w:sz w:val="24"/>
          <w:szCs w:val="24"/>
          <w:lang w:val="en-US"/>
        </w:rPr>
        <w:t>b</w:t>
      </w:r>
      <w:r w:rsidR="000B1142" w:rsidRPr="006E457A">
        <w:rPr>
          <w:rFonts w:ascii="Times New Roman" w:hAnsi="Times New Roman" w:cs="Times New Roman"/>
          <w:b/>
          <w:spacing w:val="-2"/>
          <w:sz w:val="24"/>
          <w:szCs w:val="24"/>
          <w:lang w:val="en-US"/>
        </w:rPr>
        <w:t>ank:</w:t>
      </w:r>
      <w:r w:rsidR="000B1142" w:rsidRPr="006E457A">
        <w:rPr>
          <w:rFonts w:ascii="Times New Roman" w:hAnsi="Times New Roman" w:cs="Times New Roman"/>
          <w:spacing w:val="-2"/>
          <w:sz w:val="24"/>
          <w:szCs w:val="24"/>
          <w:lang w:val="en-US"/>
        </w:rPr>
        <w:t xml:space="preserve"> </w:t>
      </w:r>
      <w:r w:rsidR="000E4E2D" w:rsidRPr="006E457A">
        <w:rPr>
          <w:rFonts w:ascii="Times New Roman" w:hAnsi="Times New Roman" w:cs="Times New Roman"/>
          <w:sz w:val="24"/>
          <w:szCs w:val="24"/>
          <w:lang w:val="en-US"/>
        </w:rPr>
        <w:t>SUE</w:t>
      </w:r>
      <w:r w:rsidRPr="006E457A">
        <w:rPr>
          <w:rFonts w:ascii="Times New Roman" w:hAnsi="Times New Roman" w:cs="Times New Roman"/>
          <w:sz w:val="24"/>
          <w:szCs w:val="24"/>
          <w:lang w:val="en-US"/>
        </w:rPr>
        <w:t xml:space="preserve"> </w:t>
      </w:r>
      <w:r w:rsidR="000E4E2D" w:rsidRPr="006E457A">
        <w:rPr>
          <w:rFonts w:ascii="Times New Roman" w:hAnsi="Times New Roman" w:cs="Times New Roman"/>
          <w:sz w:val="24"/>
          <w:szCs w:val="24"/>
          <w:lang w:val="en-US"/>
        </w:rPr>
        <w:t>PEBT</w:t>
      </w:r>
      <w:r w:rsidR="000B1142" w:rsidRPr="006E457A">
        <w:rPr>
          <w:rFonts w:ascii="Times New Roman" w:hAnsi="Times New Roman" w:cs="Times New Roman"/>
          <w:sz w:val="24"/>
          <w:szCs w:val="24"/>
          <w:lang w:val="en-US"/>
        </w:rPr>
        <w:t xml:space="preserve"> “Sanoatsodirotbonk” in Dushanbe, Tajikistan</w:t>
      </w:r>
      <w:r w:rsidR="000B1142" w:rsidRPr="006E457A">
        <w:rPr>
          <w:rFonts w:ascii="Times New Roman" w:hAnsi="Times New Roman" w:cs="Times New Roman"/>
          <w:spacing w:val="-2"/>
          <w:sz w:val="24"/>
          <w:szCs w:val="24"/>
          <w:lang w:val="en-US"/>
        </w:rPr>
        <w:t xml:space="preserve"> </w:t>
      </w:r>
      <w:bookmarkEnd w:id="2"/>
    </w:p>
    <w:p w14:paraId="05444966"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bCs/>
          <w:spacing w:val="-2"/>
          <w:sz w:val="24"/>
          <w:szCs w:val="24"/>
          <w:lang w:val="en-US"/>
        </w:rPr>
        <w:t>SWIFT code</w:t>
      </w:r>
      <w:r w:rsidRPr="006E457A">
        <w:rPr>
          <w:rFonts w:ascii="Times New Roman" w:hAnsi="Times New Roman" w:cs="Times New Roman"/>
          <w:spacing w:val="-2"/>
          <w:sz w:val="24"/>
          <w:szCs w:val="24"/>
          <w:lang w:val="en-US"/>
        </w:rPr>
        <w:t>: SUTLTJ22</w:t>
      </w:r>
    </w:p>
    <w:p w14:paraId="1D84039C" w14:textId="153F1074"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tg-Cyrl-TJ"/>
        </w:rPr>
      </w:pPr>
      <w:r w:rsidRPr="006E457A">
        <w:rPr>
          <w:rFonts w:ascii="Times New Roman" w:hAnsi="Times New Roman" w:cs="Times New Roman"/>
          <w:b/>
          <w:bCs/>
          <w:spacing w:val="-2"/>
          <w:sz w:val="24"/>
          <w:szCs w:val="24"/>
          <w:lang w:val="en-US"/>
        </w:rPr>
        <w:t>Beneficiary</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pacing w:val="-2"/>
          <w:sz w:val="24"/>
          <w:szCs w:val="24"/>
          <w:lang w:val="tg-Cyrl-TJ"/>
        </w:rPr>
        <w:t>МТЛ</w:t>
      </w:r>
      <w:r w:rsidR="00F55EAE" w:rsidRPr="006E457A">
        <w:rPr>
          <w:rFonts w:ascii="Times New Roman" w:hAnsi="Times New Roman" w:cs="Times New Roman"/>
          <w:spacing w:val="-2"/>
          <w:sz w:val="24"/>
          <w:szCs w:val="24"/>
          <w:lang w:val="tg-Cyrl-TJ"/>
        </w:rPr>
        <w:t>СКХМЗНХЧТ</w:t>
      </w:r>
    </w:p>
    <w:p w14:paraId="4D5C6E67" w14:textId="23EC17B4" w:rsidR="000E4E2D" w:rsidRPr="006E457A" w:rsidRDefault="000E4E2D" w:rsidP="000E4E2D">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Account beneficiary:</w:t>
      </w:r>
      <w:r w:rsidRPr="006E457A">
        <w:rPr>
          <w:rFonts w:ascii="Times New Roman" w:hAnsi="Times New Roman" w:cs="Times New Roman"/>
          <w:spacing w:val="-2"/>
          <w:sz w:val="24"/>
          <w:szCs w:val="24"/>
          <w:lang w:val="en-US"/>
        </w:rPr>
        <w:t xml:space="preserve"> 20206840500000114001</w:t>
      </w:r>
    </w:p>
    <w:p w14:paraId="155D503D" w14:textId="37DBE790" w:rsidR="00AA0FE2" w:rsidRDefault="00AA0FE2" w:rsidP="00926096">
      <w:pPr>
        <w:pStyle w:val="a6"/>
        <w:jc w:val="both"/>
        <w:rPr>
          <w:rFonts w:ascii="Times New Roman" w:hAnsi="Times New Roman" w:cs="Times New Roman"/>
          <w:sz w:val="24"/>
          <w:szCs w:val="24"/>
          <w:lang w:val="en-US"/>
        </w:rPr>
      </w:pPr>
    </w:p>
    <w:p w14:paraId="0A4F4A05" w14:textId="41063235" w:rsidR="00AA0FE2" w:rsidRPr="00AA0FE2" w:rsidRDefault="00AA0FE2" w:rsidP="00926096">
      <w:pPr>
        <w:pStyle w:val="a6"/>
        <w:jc w:val="both"/>
        <w:rPr>
          <w:rFonts w:ascii="Times New Roman" w:hAnsi="Times New Roman" w:cs="Times New Roman"/>
          <w:b/>
          <w:bCs/>
          <w:sz w:val="24"/>
          <w:szCs w:val="24"/>
          <w:u w:val="single"/>
          <w:lang w:val="en-US"/>
        </w:rPr>
      </w:pPr>
      <w:r w:rsidRPr="00AA0FE2">
        <w:rPr>
          <w:rFonts w:ascii="Times New Roman" w:hAnsi="Times New Roman" w:cs="Times New Roman"/>
          <w:b/>
          <w:bCs/>
          <w:sz w:val="24"/>
          <w:szCs w:val="24"/>
          <w:u w:val="single"/>
          <w:lang w:val="en-US"/>
        </w:rPr>
        <w:t>ACCOUNT FOR SOMONI</w:t>
      </w:r>
    </w:p>
    <w:p w14:paraId="25C0E25D" w14:textId="73B8CBB8" w:rsidR="00AA0FE2" w:rsidRDefault="00AA0FE2" w:rsidP="00926096">
      <w:pPr>
        <w:pStyle w:val="a6"/>
        <w:jc w:val="both"/>
        <w:rPr>
          <w:rFonts w:ascii="Times New Roman" w:hAnsi="Times New Roman" w:cs="Times New Roman"/>
          <w:b/>
          <w:bCs/>
          <w:sz w:val="24"/>
          <w:szCs w:val="24"/>
          <w:lang w:val="en-US"/>
        </w:rPr>
      </w:pPr>
    </w:p>
    <w:p w14:paraId="136C4C0E" w14:textId="32985B12" w:rsidR="00AA0FE2" w:rsidRDefault="00AA0FE2" w:rsidP="00926096">
      <w:pPr>
        <w:pStyle w:val="a6"/>
        <w:jc w:val="both"/>
        <w:rPr>
          <w:rFonts w:ascii="Times New Roman" w:hAnsi="Times New Roman" w:cs="Times New Roman"/>
          <w:sz w:val="24"/>
          <w:szCs w:val="24"/>
          <w:lang w:val="en-US"/>
        </w:rPr>
      </w:pPr>
      <w:r>
        <w:rPr>
          <w:rFonts w:ascii="Times New Roman" w:hAnsi="Times New Roman" w:cs="Times New Roman"/>
          <w:b/>
          <w:spacing w:val="-2"/>
          <w:sz w:val="24"/>
          <w:szCs w:val="24"/>
          <w:lang w:val="en-US"/>
        </w:rPr>
        <w:t>B</w:t>
      </w:r>
      <w:r w:rsidRPr="006E457A">
        <w:rPr>
          <w:rFonts w:ascii="Times New Roman" w:hAnsi="Times New Roman" w:cs="Times New Roman"/>
          <w:b/>
          <w:spacing w:val="-2"/>
          <w:sz w:val="24"/>
          <w:szCs w:val="24"/>
          <w:lang w:val="en-US"/>
        </w:rPr>
        <w:t>ank:</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z w:val="24"/>
          <w:szCs w:val="24"/>
          <w:lang w:val="en-US"/>
        </w:rPr>
        <w:t>SUE PEBT “Sanoatsodirotbonk” in Dushanbe, Tajikistan</w:t>
      </w:r>
    </w:p>
    <w:p w14:paraId="19EA844E" w14:textId="35A3F24A" w:rsidR="00AA0FE2" w:rsidRDefault="0048687D" w:rsidP="00926096">
      <w:pPr>
        <w:pStyle w:val="a6"/>
        <w:jc w:val="both"/>
        <w:rPr>
          <w:rFonts w:ascii="Times New Roman" w:hAnsi="Times New Roman" w:cs="Times New Roman"/>
          <w:b/>
          <w:bCs/>
          <w:sz w:val="24"/>
          <w:szCs w:val="24"/>
          <w:lang w:val="en-US"/>
        </w:rPr>
      </w:pPr>
      <w:r>
        <w:rPr>
          <w:rFonts w:ascii="Times New Roman" w:hAnsi="Times New Roman" w:cs="Times New Roman"/>
          <w:b/>
          <w:spacing w:val="-2"/>
          <w:sz w:val="24"/>
          <w:szCs w:val="24"/>
          <w:lang w:val="en-US"/>
        </w:rPr>
        <w:t>Account:</w:t>
      </w:r>
      <w:r>
        <w:rPr>
          <w:rFonts w:ascii="Times New Roman" w:hAnsi="Times New Roman" w:cs="Times New Roman"/>
          <w:b/>
          <w:bCs/>
          <w:sz w:val="24"/>
          <w:szCs w:val="24"/>
          <w:lang w:val="en-US"/>
        </w:rPr>
        <w:t xml:space="preserve"> </w:t>
      </w:r>
      <w:r w:rsidRPr="0048687D">
        <w:rPr>
          <w:rFonts w:ascii="Times New Roman" w:hAnsi="Times New Roman" w:cs="Times New Roman"/>
          <w:sz w:val="24"/>
          <w:szCs w:val="24"/>
          <w:lang w:val="en-US"/>
        </w:rPr>
        <w:t>20202972100000114001</w:t>
      </w:r>
    </w:p>
    <w:p w14:paraId="6D92BFBF" w14:textId="77777777" w:rsidR="0048687D" w:rsidRPr="00AA0FE2" w:rsidRDefault="0048687D" w:rsidP="00926096">
      <w:pPr>
        <w:pStyle w:val="a6"/>
        <w:jc w:val="both"/>
        <w:rPr>
          <w:rFonts w:ascii="Times New Roman" w:hAnsi="Times New Roman" w:cs="Times New Roman"/>
          <w:b/>
          <w:bCs/>
          <w:sz w:val="24"/>
          <w:szCs w:val="24"/>
          <w:lang w:val="en-US"/>
        </w:rPr>
      </w:pPr>
    </w:p>
    <w:p w14:paraId="7042623C" w14:textId="42641A9A" w:rsidR="00926096" w:rsidRPr="006E457A" w:rsidRDefault="00926096" w:rsidP="00926096">
      <w:pPr>
        <w:pStyle w:val="a6"/>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Bidding documents can be obtained by sending an e-mail or letter, giving full contact details of the bidder, to the following point of contact. This will ensure that the bidders receive updates regarding this bidding document.</w:t>
      </w:r>
    </w:p>
    <w:p w14:paraId="109D6841" w14:textId="4E676960" w:rsidR="003A11C5" w:rsidRPr="006E457A" w:rsidRDefault="006746B0" w:rsidP="00926096">
      <w:pPr>
        <w:pStyle w:val="a6"/>
        <w:jc w:val="both"/>
        <w:rPr>
          <w:rFonts w:ascii="Times New Roman" w:hAnsi="Times New Roman" w:cs="Times New Roman"/>
          <w:sz w:val="24"/>
          <w:szCs w:val="24"/>
          <w:lang w:val="en-US"/>
        </w:rPr>
      </w:pPr>
      <w:r w:rsidRPr="00941FAD">
        <w:rPr>
          <w:rFonts w:ascii="Times New Roman" w:hAnsi="Times New Roman" w:cs="Times New Roman"/>
          <w:b/>
          <w:bCs/>
          <w:sz w:val="24"/>
          <w:szCs w:val="24"/>
          <w:lang w:val="en-US"/>
        </w:rPr>
        <w:t>Address:</w:t>
      </w:r>
      <w:r w:rsidR="003A11C5" w:rsidRPr="006E457A">
        <w:rPr>
          <w:rFonts w:ascii="Times New Roman" w:hAnsi="Times New Roman" w:cs="Times New Roman"/>
          <w:sz w:val="24"/>
          <w:szCs w:val="24"/>
          <w:lang w:val="en-US"/>
        </w:rPr>
        <w:t xml:space="preserve"> </w:t>
      </w:r>
      <w:r w:rsidRPr="006E457A">
        <w:rPr>
          <w:rFonts w:ascii="Times New Roman" w:hAnsi="Times New Roman" w:cs="Times New Roman"/>
          <w:iCs/>
          <w:color w:val="000000" w:themeColor="text1"/>
          <w:sz w:val="24"/>
          <w:szCs w:val="24"/>
          <w:lang w:val="en-US"/>
        </w:rPr>
        <w:t xml:space="preserve">Center for Implementation of Investment Projects of the </w:t>
      </w:r>
      <w:r w:rsidR="003A11C5" w:rsidRPr="006E457A">
        <w:rPr>
          <w:rFonts w:ascii="Times New Roman" w:hAnsi="Times New Roman" w:cs="Times New Roman"/>
          <w:sz w:val="24"/>
          <w:szCs w:val="24"/>
          <w:lang w:val="en-US"/>
        </w:rPr>
        <w:t>Committee for Environmental Protection under the Government of the Republic of Tajikistan at 5/1 Shamsi str., 734034, Dushanbe, Republic of Tajikistan from 8-00 till 17-00, from Monday till Friday.</w:t>
      </w:r>
    </w:p>
    <w:p w14:paraId="01B53BDE" w14:textId="26DEE9F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Bids must be delivered to the address and in the manner specified in the bid data sheet – instructions to bidders 25.2, no later than </w:t>
      </w:r>
      <w:r w:rsidR="008B31B5">
        <w:rPr>
          <w:rFonts w:ascii="Times New Roman" w:hAnsi="Times New Roman" w:cs="Times New Roman"/>
          <w:sz w:val="24"/>
          <w:szCs w:val="24"/>
          <w:lang w:val="en-US"/>
        </w:rPr>
        <w:t>June 17</w:t>
      </w:r>
      <w:r w:rsidR="005E3750">
        <w:rPr>
          <w:rFonts w:ascii="Times New Roman" w:hAnsi="Times New Roman" w:cs="Times New Roman"/>
          <w:sz w:val="24"/>
          <w:szCs w:val="24"/>
          <w:lang w:val="en-US"/>
        </w:rPr>
        <w:t>, 2025</w:t>
      </w:r>
      <w:r w:rsidR="006E457A" w:rsidRPr="006E457A">
        <w:rPr>
          <w:rFonts w:ascii="Times New Roman" w:hAnsi="Times New Roman" w:cs="Times New Roman"/>
          <w:sz w:val="24"/>
          <w:szCs w:val="24"/>
          <w:lang w:val="en-US"/>
        </w:rPr>
        <w:t xml:space="preserve">, at </w:t>
      </w:r>
      <w:r w:rsidR="008B31B5">
        <w:rPr>
          <w:rFonts w:ascii="Times New Roman" w:hAnsi="Times New Roman" w:cs="Times New Roman"/>
          <w:sz w:val="24"/>
          <w:szCs w:val="24"/>
          <w:lang w:val="en-US"/>
        </w:rPr>
        <w:t>15</w:t>
      </w:r>
      <w:r w:rsidRPr="006E457A">
        <w:rPr>
          <w:rFonts w:ascii="Times New Roman" w:hAnsi="Times New Roman" w:cs="Times New Roman"/>
          <w:sz w:val="24"/>
          <w:szCs w:val="24"/>
          <w:lang w:val="en-US"/>
        </w:rPr>
        <w:t>:00</w:t>
      </w:r>
      <w:r w:rsidR="00941FAD">
        <w:rPr>
          <w:rFonts w:ascii="Times New Roman" w:hAnsi="Times New Roman" w:cs="Times New Roman"/>
          <w:sz w:val="24"/>
          <w:szCs w:val="24"/>
          <w:lang w:val="en-US"/>
        </w:rPr>
        <w:t xml:space="preserve">, </w:t>
      </w:r>
      <w:r w:rsidRPr="006E457A">
        <w:rPr>
          <w:rFonts w:ascii="Times New Roman" w:hAnsi="Times New Roman" w:cs="Times New Roman"/>
          <w:sz w:val="24"/>
          <w:szCs w:val="24"/>
          <w:lang w:val="en-US"/>
        </w:rPr>
        <w:t>local time.</w:t>
      </w:r>
    </w:p>
    <w:p w14:paraId="20C6543F" w14:textId="7777777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Bidders should be aware that late bids will not be accepted under any circumstances and will be returned unopened to the bidder. All bids must be accompanied by a bid security (as required) in the manner and amount specified in the bid data sheet.</w:t>
      </w:r>
    </w:p>
    <w:p w14:paraId="7E7C1D7D" w14:textId="1B3A8613" w:rsidR="006746B0" w:rsidRPr="003B227C"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Please note that electronic bids shall not be accepted as defined in ITB BDS 25.</w:t>
      </w:r>
    </w:p>
    <w:p w14:paraId="61E95B45" w14:textId="1DC73655" w:rsidR="003A11C5" w:rsidRPr="006E457A" w:rsidRDefault="003A11C5" w:rsidP="003A11C5">
      <w:p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Yours sincerely,</w:t>
      </w:r>
    </w:p>
    <w:p w14:paraId="711239BA"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Junaidzoda M.H.</w:t>
      </w:r>
    </w:p>
    <w:p w14:paraId="633D86AF"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Director, </w:t>
      </w:r>
      <w:r w:rsidRPr="006E457A">
        <w:rPr>
          <w:rFonts w:ascii="Times New Roman" w:hAnsi="Times New Roman" w:cs="Times New Roman"/>
          <w:sz w:val="24"/>
          <w:szCs w:val="24"/>
          <w:lang w:val="en-GB"/>
        </w:rPr>
        <w:t>Center for Implementation of Investment Projects of the Committee for Environmental Protection under the Government of the Republic of Tajikistan</w:t>
      </w:r>
    </w:p>
    <w:p w14:paraId="4A64D9FD" w14:textId="1C6D6FE4"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5/1 Shamsi </w:t>
      </w:r>
      <w:r w:rsidR="00511513">
        <w:rPr>
          <w:rFonts w:ascii="Times New Roman" w:hAnsi="Times New Roman" w:cs="Times New Roman"/>
          <w:sz w:val="24"/>
          <w:szCs w:val="24"/>
          <w:lang w:val="en-US"/>
        </w:rPr>
        <w:t>S</w:t>
      </w:r>
      <w:r w:rsidRPr="006E457A">
        <w:rPr>
          <w:rFonts w:ascii="Times New Roman" w:hAnsi="Times New Roman" w:cs="Times New Roman"/>
          <w:sz w:val="24"/>
          <w:szCs w:val="24"/>
          <w:lang w:val="en-US"/>
        </w:rPr>
        <w:t>tr., first floor, Dushanbe, Tajikistan</w:t>
      </w:r>
    </w:p>
    <w:p w14:paraId="1A0BA6C3"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Tel: 236-04-28</w:t>
      </w:r>
    </w:p>
    <w:p w14:paraId="70294E49" w14:textId="6F856CB7" w:rsidR="00273C02" w:rsidRPr="006E457A" w:rsidRDefault="003A11C5" w:rsidP="002E3C80">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e-mail: </w:t>
      </w:r>
      <w:hyperlink r:id="rId6" w:history="1">
        <w:r w:rsidRPr="006E457A">
          <w:rPr>
            <w:rStyle w:val="a3"/>
            <w:rFonts w:ascii="Times New Roman" w:hAnsi="Times New Roman" w:cs="Times New Roman"/>
            <w:sz w:val="24"/>
            <w:szCs w:val="24"/>
            <w:lang w:val="en-GB"/>
          </w:rPr>
          <w:t>procurement.caspplus@gmail.com</w:t>
        </w:r>
      </w:hyperlink>
    </w:p>
    <w:sectPr w:rsidR="00273C02" w:rsidRPr="006E457A" w:rsidSect="002E3C80">
      <w:pgSz w:w="11906" w:h="16838"/>
      <w:pgMar w:top="709"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F3"/>
    <w:multiLevelType w:val="hybridMultilevel"/>
    <w:tmpl w:val="679C351A"/>
    <w:lvl w:ilvl="0" w:tplc="7A9E83E8">
      <w:start w:val="1"/>
      <w:numFmt w:val="decimal"/>
      <w:lvlText w:val="%1."/>
      <w:lvlJc w:val="left"/>
      <w:pPr>
        <w:ind w:left="720" w:hanging="360"/>
      </w:pPr>
      <w:rPr>
        <w:b w:val="0"/>
        <w:b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7D866238"/>
    <w:multiLevelType w:val="hybridMultilevel"/>
    <w:tmpl w:val="3E6ADD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2NLU0M7MwNTM3MzFR0lEKTi0uzszPAymwqAUA5DSxbiwAAAA="/>
  </w:docVars>
  <w:rsids>
    <w:rsidRoot w:val="00AC4189"/>
    <w:rsid w:val="00005DC6"/>
    <w:rsid w:val="00011BBE"/>
    <w:rsid w:val="000B1142"/>
    <w:rsid w:val="000E4E2D"/>
    <w:rsid w:val="00273C02"/>
    <w:rsid w:val="002E3C80"/>
    <w:rsid w:val="003A11C5"/>
    <w:rsid w:val="003B227C"/>
    <w:rsid w:val="0040102C"/>
    <w:rsid w:val="004116B0"/>
    <w:rsid w:val="0048687D"/>
    <w:rsid w:val="004A4C6C"/>
    <w:rsid w:val="00511513"/>
    <w:rsid w:val="00524352"/>
    <w:rsid w:val="005E3750"/>
    <w:rsid w:val="00607074"/>
    <w:rsid w:val="006746B0"/>
    <w:rsid w:val="006E457A"/>
    <w:rsid w:val="007066DC"/>
    <w:rsid w:val="007A6480"/>
    <w:rsid w:val="007F3B9D"/>
    <w:rsid w:val="00821098"/>
    <w:rsid w:val="00860C43"/>
    <w:rsid w:val="008B31B5"/>
    <w:rsid w:val="009003BA"/>
    <w:rsid w:val="00903DBD"/>
    <w:rsid w:val="00926096"/>
    <w:rsid w:val="00941FAD"/>
    <w:rsid w:val="00965F77"/>
    <w:rsid w:val="009A6711"/>
    <w:rsid w:val="00A85F04"/>
    <w:rsid w:val="00AA0FE2"/>
    <w:rsid w:val="00AC4189"/>
    <w:rsid w:val="00BC7CD4"/>
    <w:rsid w:val="00C97A42"/>
    <w:rsid w:val="00D24949"/>
    <w:rsid w:val="00E30C2D"/>
    <w:rsid w:val="00F55EAE"/>
    <w:rsid w:val="00F61175"/>
    <w:rsid w:val="00F93517"/>
    <w:rsid w:val="00FD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E0AC"/>
  <w15:chartTrackingRefBased/>
  <w15:docId w15:val="{1A1E8A71-EC6B-46D6-B3E3-199D24F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1C5"/>
    <w:rPr>
      <w:color w:val="0563C1" w:themeColor="hyperlink"/>
      <w:u w:val="single"/>
    </w:rPr>
  </w:style>
  <w:style w:type="character" w:styleId="a4">
    <w:name w:val="Unresolved Mention"/>
    <w:basedOn w:val="a0"/>
    <w:uiPriority w:val="99"/>
    <w:semiHidden/>
    <w:unhideWhenUsed/>
    <w:rsid w:val="003A11C5"/>
    <w:rPr>
      <w:color w:val="605E5C"/>
      <w:shd w:val="clear" w:color="auto" w:fill="E1DFDD"/>
    </w:rPr>
  </w:style>
  <w:style w:type="character" w:styleId="a5">
    <w:name w:val="Strong"/>
    <w:basedOn w:val="a0"/>
    <w:uiPriority w:val="22"/>
    <w:qFormat/>
    <w:rsid w:val="000B1142"/>
    <w:rPr>
      <w:b/>
      <w:bCs/>
    </w:rPr>
  </w:style>
  <w:style w:type="character" w:customStyle="1" w:styleId="apple-converted-space">
    <w:name w:val="apple-converted-space"/>
    <w:basedOn w:val="a0"/>
    <w:rsid w:val="000B1142"/>
  </w:style>
  <w:style w:type="paragraph" w:styleId="a6">
    <w:name w:val="List Paragraph"/>
    <w:basedOn w:val="a"/>
    <w:uiPriority w:val="34"/>
    <w:qFormat/>
    <w:rsid w:val="000B1142"/>
    <w:pPr>
      <w:ind w:left="720"/>
      <w:contextualSpacing/>
    </w:pPr>
  </w:style>
  <w:style w:type="paragraph" w:styleId="a7">
    <w:name w:val="annotation text"/>
    <w:basedOn w:val="a"/>
    <w:link w:val="a8"/>
    <w:uiPriority w:val="99"/>
    <w:semiHidden/>
    <w:unhideWhenUsed/>
    <w:rsid w:val="00941FAD"/>
    <w:pPr>
      <w:spacing w:line="240" w:lineRule="auto"/>
    </w:pPr>
    <w:rPr>
      <w:sz w:val="20"/>
      <w:szCs w:val="20"/>
    </w:rPr>
  </w:style>
  <w:style w:type="character" w:customStyle="1" w:styleId="a8">
    <w:name w:val="Текст примечания Знак"/>
    <w:basedOn w:val="a0"/>
    <w:link w:val="a7"/>
    <w:uiPriority w:val="99"/>
    <w:semiHidden/>
    <w:rsid w:val="00941FAD"/>
    <w:rPr>
      <w:sz w:val="20"/>
      <w:szCs w:val="20"/>
    </w:rPr>
  </w:style>
  <w:style w:type="character" w:styleId="a9">
    <w:name w:val="annotation reference"/>
    <w:uiPriority w:val="99"/>
    <w:semiHidden/>
    <w:rsid w:val="00941FAD"/>
    <w:rPr>
      <w:sz w:val="16"/>
      <w:szCs w:val="16"/>
    </w:rPr>
  </w:style>
  <w:style w:type="paragraph" w:customStyle="1" w:styleId="CharChar">
    <w:name w:val="Char Char"/>
    <w:basedOn w:val="a"/>
    <w:rsid w:val="002E3C80"/>
    <w:pPr>
      <w:numPr>
        <w:numId w:val="3"/>
      </w:numPr>
      <w:spacing w:after="0" w:line="240" w:lineRule="auto"/>
    </w:pPr>
    <w:rPr>
      <w:rFonts w:eastAsia="Times New Roman" w:cs="Times New Roman"/>
      <w:kern w:val="0"/>
      <w:sz w:val="24"/>
      <w:szCs w:val="24"/>
      <w:lang w:val="en-US"/>
      <w14:ligatures w14:val="none"/>
    </w:rPr>
  </w:style>
  <w:style w:type="paragraph" w:customStyle="1" w:styleId="BDSDefault">
    <w:name w:val="BDS Default"/>
    <w:basedOn w:val="a"/>
    <w:link w:val="BDSDefaultChar"/>
    <w:rsid w:val="002E3C80"/>
    <w:pPr>
      <w:spacing w:before="120" w:after="120" w:line="240" w:lineRule="auto"/>
      <w:jc w:val="both"/>
    </w:pPr>
    <w:rPr>
      <w:rFonts w:eastAsia="Times New Roman" w:cs="Times New Roman"/>
      <w:kern w:val="0"/>
      <w:sz w:val="24"/>
      <w:szCs w:val="24"/>
      <w:lang w:val="en-US"/>
      <w14:ligatures w14:val="none"/>
    </w:rPr>
  </w:style>
  <w:style w:type="character" w:customStyle="1" w:styleId="BDSDefaultChar">
    <w:name w:val="BDS Default Char"/>
    <w:basedOn w:val="a0"/>
    <w:link w:val="BDSDefault"/>
    <w:rsid w:val="002E3C80"/>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7576">
      <w:bodyDiv w:val="1"/>
      <w:marLeft w:val="0"/>
      <w:marRight w:val="0"/>
      <w:marTop w:val="0"/>
      <w:marBottom w:val="0"/>
      <w:divBdr>
        <w:top w:val="none" w:sz="0" w:space="0" w:color="auto"/>
        <w:left w:val="none" w:sz="0" w:space="0" w:color="auto"/>
        <w:bottom w:val="none" w:sz="0" w:space="0" w:color="auto"/>
        <w:right w:val="none" w:sz="0" w:space="0" w:color="auto"/>
      </w:divBdr>
    </w:div>
    <w:div w:id="1896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aspplus@gmail.com" TargetMode="External"/><Relationship Id="rId5" Type="http://schemas.openxmlformats.org/officeDocument/2006/relationships/hyperlink" Target="https://www.ifad.org/en/w/document/ifad-procurement-handbo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4303</TotalTime>
  <Pages>2</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Najibullo</cp:lastModifiedBy>
  <cp:revision>30</cp:revision>
  <cp:lastPrinted>2025-04-07T04:32:00Z</cp:lastPrinted>
  <dcterms:created xsi:type="dcterms:W3CDTF">2024-08-29T04:37:00Z</dcterms:created>
  <dcterms:modified xsi:type="dcterms:W3CDTF">2025-04-30T10:29:00Z</dcterms:modified>
</cp:coreProperties>
</file>