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F2C8" w14:textId="77777777" w:rsidR="000609A2" w:rsidRPr="00564337" w:rsidRDefault="000609A2" w:rsidP="000609A2">
      <w:pPr>
        <w:spacing w:after="0" w:line="240" w:lineRule="auto"/>
        <w:jc w:val="center"/>
        <w:rPr>
          <w:rFonts w:eastAsia="Times New Roman"/>
          <w:b/>
          <w:bCs/>
          <w:kern w:val="0"/>
          <w:sz w:val="44"/>
          <w:szCs w:val="44"/>
          <w:lang w:val="en-US"/>
          <w14:ligatures w14:val="none"/>
        </w:rPr>
      </w:pPr>
      <w:r w:rsidRPr="00564337">
        <w:rPr>
          <w:rFonts w:eastAsia="Times New Roman"/>
          <w:b/>
          <w:bCs/>
          <w:kern w:val="0"/>
          <w:sz w:val="44"/>
          <w:szCs w:val="44"/>
          <w:lang w:val="en-US"/>
          <w14:ligatures w14:val="none"/>
        </w:rPr>
        <w:t>Request for Bids</w:t>
      </w:r>
    </w:p>
    <w:p w14:paraId="47C7CD21" w14:textId="77777777" w:rsidR="000609A2" w:rsidRPr="00564337" w:rsidRDefault="000609A2" w:rsidP="000609A2">
      <w:pPr>
        <w:spacing w:after="0" w:line="240" w:lineRule="auto"/>
        <w:jc w:val="center"/>
        <w:rPr>
          <w:rFonts w:eastAsia="Times New Roman"/>
          <w:b/>
          <w:bCs/>
          <w:kern w:val="0"/>
          <w:sz w:val="44"/>
          <w:szCs w:val="44"/>
          <w:lang w:val="en-US"/>
          <w14:ligatures w14:val="none"/>
        </w:rPr>
      </w:pPr>
      <w:r w:rsidRPr="00564337">
        <w:rPr>
          <w:rFonts w:eastAsia="Times New Roman"/>
          <w:b/>
          <w:bCs/>
          <w:kern w:val="0"/>
          <w:sz w:val="44"/>
          <w:szCs w:val="44"/>
          <w:lang w:val="en-US"/>
          <w14:ligatures w14:val="none"/>
        </w:rPr>
        <w:t>Goods</w:t>
      </w:r>
    </w:p>
    <w:p w14:paraId="57154919" w14:textId="77777777" w:rsidR="000609A2" w:rsidRPr="00564337" w:rsidRDefault="000609A2" w:rsidP="000609A2">
      <w:pPr>
        <w:spacing w:before="120" w:after="0" w:line="240" w:lineRule="auto"/>
        <w:jc w:val="center"/>
        <w:rPr>
          <w:rFonts w:eastAsia="Times New Roman"/>
          <w:b/>
          <w:bCs/>
          <w:kern w:val="0"/>
          <w:sz w:val="28"/>
          <w:szCs w:val="28"/>
          <w:lang w:val="en-US"/>
          <w14:ligatures w14:val="none"/>
        </w:rPr>
      </w:pPr>
      <w:r w:rsidRPr="00564337">
        <w:rPr>
          <w:rFonts w:eastAsia="Times New Roman"/>
          <w:b/>
          <w:bCs/>
          <w:kern w:val="0"/>
          <w:sz w:val="28"/>
          <w:szCs w:val="28"/>
          <w:lang w:val="en-US"/>
          <w14:ligatures w14:val="none"/>
        </w:rPr>
        <w:t>(Two-Envelope Bidding Process)</w:t>
      </w:r>
    </w:p>
    <w:p w14:paraId="66A22350" w14:textId="77777777" w:rsidR="000609A2" w:rsidRDefault="000609A2" w:rsidP="000609A2">
      <w:pPr>
        <w:spacing w:after="0" w:line="240" w:lineRule="auto"/>
        <w:jc w:val="center"/>
        <w:rPr>
          <w:rFonts w:eastAsia="Times New Roman"/>
          <w:b/>
          <w:bCs/>
          <w:kern w:val="0"/>
          <w:sz w:val="32"/>
          <w:szCs w:val="20"/>
          <w:lang w:val="en-US"/>
          <w14:ligatures w14:val="none"/>
        </w:rPr>
      </w:pPr>
    </w:p>
    <w:tbl>
      <w:tblPr>
        <w:tblStyle w:val="af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291D56" w:rsidRPr="002D2813" w14:paraId="653832B8" w14:textId="77777777" w:rsidTr="00B32A81">
        <w:tc>
          <w:tcPr>
            <w:tcW w:w="2263" w:type="dxa"/>
          </w:tcPr>
          <w:p w14:paraId="7ECDFECC" w14:textId="77777777" w:rsidR="00291D56" w:rsidRPr="00322F5D" w:rsidRDefault="00291D56" w:rsidP="00774C3A">
            <w:pPr>
              <w:spacing w:before="40" w:after="40"/>
              <w:rPr>
                <w:b/>
                <w:spacing w:val="-2"/>
                <w:lang w:val="en-US"/>
              </w:rPr>
            </w:pPr>
            <w:r w:rsidRPr="00322F5D">
              <w:rPr>
                <w:b/>
                <w:spacing w:val="-2"/>
                <w:lang w:val="en-US"/>
              </w:rPr>
              <w:t>Country:</w:t>
            </w:r>
          </w:p>
          <w:p w14:paraId="69F5E9D6" w14:textId="77777777" w:rsidR="00291D56" w:rsidRPr="00322F5D" w:rsidRDefault="00291D56" w:rsidP="00774C3A">
            <w:pPr>
              <w:spacing w:before="40" w:after="40"/>
              <w:rPr>
                <w:rFonts w:eastAsia="Times New Roman"/>
                <w:b/>
                <w:kern w:val="0"/>
                <w:szCs w:val="20"/>
                <w:lang w:val="en-US"/>
                <w14:ligatures w14:val="none"/>
              </w:rPr>
            </w:pPr>
            <w:r w:rsidRPr="00322F5D">
              <w:rPr>
                <w:rFonts w:eastAsia="Times New Roman"/>
                <w:b/>
                <w:kern w:val="0"/>
                <w:szCs w:val="20"/>
                <w:lang w:val="en-US"/>
                <w14:ligatures w14:val="none"/>
              </w:rPr>
              <w:t>Name of Project:</w:t>
            </w:r>
          </w:p>
          <w:p w14:paraId="085D4819" w14:textId="77777777" w:rsidR="00291D56" w:rsidRPr="00322F5D" w:rsidRDefault="00291D56" w:rsidP="00774C3A">
            <w:pPr>
              <w:spacing w:before="40" w:after="40"/>
              <w:rPr>
                <w:rFonts w:eastAsia="Times New Roman"/>
                <w:b/>
                <w:kern w:val="0"/>
                <w:szCs w:val="20"/>
                <w:lang w:val="en-US"/>
                <w14:ligatures w14:val="none"/>
              </w:rPr>
            </w:pPr>
            <w:r w:rsidRPr="00322F5D">
              <w:rPr>
                <w:rFonts w:eastAsia="Times New Roman"/>
                <w:b/>
                <w:kern w:val="0"/>
                <w:szCs w:val="20"/>
                <w:lang w:val="en-US"/>
                <w14:ligatures w14:val="none"/>
              </w:rPr>
              <w:t>Contract Title:</w:t>
            </w:r>
          </w:p>
          <w:p w14:paraId="65F8F234" w14:textId="1D4B5D69" w:rsidR="00291D56" w:rsidRPr="00322F5D" w:rsidRDefault="00291D56" w:rsidP="00774C3A">
            <w:pPr>
              <w:spacing w:before="40" w:after="40"/>
              <w:ind w:right="-101"/>
              <w:rPr>
                <w:rFonts w:eastAsia="Times New Roman"/>
                <w:b/>
                <w:kern w:val="0"/>
                <w:szCs w:val="20"/>
                <w:lang w:val="en-US"/>
                <w14:ligatures w14:val="none"/>
              </w:rPr>
            </w:pPr>
            <w:r w:rsidRPr="00322F5D">
              <w:rPr>
                <w:rFonts w:eastAsia="Times New Roman"/>
                <w:b/>
                <w:kern w:val="0"/>
                <w:szCs w:val="20"/>
                <w:lang w:val="en-US"/>
                <w14:ligatures w14:val="none"/>
              </w:rPr>
              <w:t>Grant No.:</w:t>
            </w:r>
          </w:p>
          <w:p w14:paraId="531642CF" w14:textId="16718D33" w:rsidR="00291D56" w:rsidRPr="00322F5D" w:rsidRDefault="00291D56" w:rsidP="00774C3A">
            <w:pPr>
              <w:spacing w:before="40" w:after="40"/>
              <w:rPr>
                <w:rFonts w:eastAsia="Times New Roman"/>
                <w:b/>
                <w:bCs/>
                <w:kern w:val="0"/>
                <w:sz w:val="32"/>
                <w:szCs w:val="20"/>
                <w:lang w:val="en-US"/>
                <w14:ligatures w14:val="none"/>
              </w:rPr>
            </w:pPr>
            <w:r w:rsidRPr="00322F5D">
              <w:rPr>
                <w:rFonts w:eastAsia="Times New Roman"/>
                <w:b/>
                <w:spacing w:val="-2"/>
                <w:kern w:val="0"/>
                <w:szCs w:val="20"/>
                <w:lang w:val="en-US"/>
                <w14:ligatures w14:val="none"/>
              </w:rPr>
              <w:t>RFB Reference No.:</w:t>
            </w:r>
          </w:p>
        </w:tc>
        <w:tc>
          <w:tcPr>
            <w:tcW w:w="7371" w:type="dxa"/>
          </w:tcPr>
          <w:p w14:paraId="301BE2EC" w14:textId="77777777" w:rsidR="00291D56" w:rsidRPr="00322F5D" w:rsidRDefault="00C744B0" w:rsidP="00774C3A">
            <w:pPr>
              <w:spacing w:before="40" w:after="40"/>
              <w:ind w:left="-102"/>
              <w:rPr>
                <w:b/>
                <w:lang w:val="en-US"/>
              </w:rPr>
            </w:pPr>
            <w:r w:rsidRPr="00322F5D">
              <w:rPr>
                <w:b/>
                <w:lang w:val="en-US"/>
              </w:rPr>
              <w:t>Republic of Tajikistan</w:t>
            </w:r>
          </w:p>
          <w:p w14:paraId="6563F24B" w14:textId="77777777" w:rsidR="00C744B0" w:rsidRPr="00322F5D" w:rsidRDefault="00C744B0" w:rsidP="00774C3A">
            <w:pPr>
              <w:spacing w:before="40" w:after="40"/>
              <w:ind w:left="-102"/>
              <w:rPr>
                <w:b/>
                <w:lang w:val="en-US"/>
              </w:rPr>
            </w:pPr>
            <w:r w:rsidRPr="00322F5D">
              <w:rPr>
                <w:b/>
                <w:lang w:val="en-US"/>
              </w:rPr>
              <w:t>Tajikistan Preparedness and Resilience to Disasters Project</w:t>
            </w:r>
          </w:p>
          <w:p w14:paraId="6D1FAD3F" w14:textId="0E81032E" w:rsidR="00B70A6D" w:rsidRPr="003B12EF" w:rsidRDefault="003B12EF" w:rsidP="00774C3A">
            <w:pPr>
              <w:spacing w:before="40" w:after="40"/>
              <w:ind w:left="-102"/>
              <w:rPr>
                <w:b/>
                <w:lang w:val="en-US"/>
              </w:rPr>
            </w:pPr>
            <w:r w:rsidRPr="003B12EF">
              <w:rPr>
                <w:b/>
                <w:bCs/>
                <w:iCs/>
                <w:lang w:val="en-US"/>
              </w:rPr>
              <w:t>Purchasing and installation of</w:t>
            </w:r>
            <w:r w:rsidRPr="003B12EF">
              <w:rPr>
                <w:b/>
                <w:lang w:val="en-US"/>
              </w:rPr>
              <w:t xml:space="preserve"> ICT equipment for 3 Regional Crisis Management Centers in the cities of Khujand, </w:t>
            </w:r>
            <w:proofErr w:type="spellStart"/>
            <w:r w:rsidRPr="003B12EF">
              <w:rPr>
                <w:b/>
                <w:lang w:val="en-US"/>
              </w:rPr>
              <w:t>Khorog</w:t>
            </w:r>
            <w:proofErr w:type="spellEnd"/>
            <w:r w:rsidRPr="003B12EF">
              <w:rPr>
                <w:b/>
                <w:lang w:val="en-US"/>
              </w:rPr>
              <w:t xml:space="preserve"> and Bokhtar</w:t>
            </w:r>
          </w:p>
          <w:p w14:paraId="5A588666" w14:textId="77777777" w:rsidR="00D46CC8" w:rsidRPr="00322F5D" w:rsidRDefault="00D46CC8" w:rsidP="00774C3A">
            <w:pPr>
              <w:spacing w:before="40" w:after="40"/>
              <w:ind w:left="-102"/>
              <w:rPr>
                <w:b/>
                <w:iCs/>
                <w:lang w:val="en-US"/>
              </w:rPr>
            </w:pPr>
            <w:r w:rsidRPr="00322F5D">
              <w:rPr>
                <w:b/>
                <w:lang w:val="en-US"/>
              </w:rPr>
              <w:t xml:space="preserve">IDA </w:t>
            </w:r>
            <w:r w:rsidRPr="00322F5D">
              <w:rPr>
                <w:b/>
                <w:iCs/>
                <w:lang w:val="en-US"/>
              </w:rPr>
              <w:t>D9780-TJ</w:t>
            </w:r>
          </w:p>
          <w:p w14:paraId="180DD1D9" w14:textId="43A15052" w:rsidR="00D46CC8" w:rsidRPr="00322F5D" w:rsidRDefault="00322F5D" w:rsidP="00774C3A">
            <w:pPr>
              <w:spacing w:before="40" w:after="40"/>
              <w:ind w:left="-102"/>
              <w:rPr>
                <w:rFonts w:eastAsia="Times New Roman"/>
                <w:b/>
                <w:bCs/>
                <w:kern w:val="0"/>
                <w:sz w:val="32"/>
                <w:szCs w:val="20"/>
                <w:lang w:val="en-US"/>
                <w14:ligatures w14:val="none"/>
              </w:rPr>
            </w:pPr>
            <w:r w:rsidRPr="00322F5D">
              <w:rPr>
                <w:bCs/>
                <w:i/>
                <w:spacing w:val="-2"/>
                <w:lang w:val="en-US"/>
              </w:rPr>
              <w:t xml:space="preserve">[as per the Procurement Plan] </w:t>
            </w:r>
            <w:r w:rsidR="00D46CC8" w:rsidRPr="00322F5D">
              <w:rPr>
                <w:b/>
                <w:lang w:val="en-US"/>
              </w:rPr>
              <w:t>MOF/TPRDP/G-RFB-</w:t>
            </w:r>
            <w:r w:rsidR="00332FAA">
              <w:rPr>
                <w:b/>
                <w:lang w:val="en-US"/>
              </w:rPr>
              <w:t>01</w:t>
            </w:r>
          </w:p>
        </w:tc>
      </w:tr>
    </w:tbl>
    <w:p w14:paraId="26B60F9E" w14:textId="77777777" w:rsidR="000609A2" w:rsidRPr="00564337" w:rsidRDefault="000609A2" w:rsidP="000609A2">
      <w:pPr>
        <w:suppressAutoHyphens/>
        <w:spacing w:after="0" w:line="240" w:lineRule="auto"/>
        <w:rPr>
          <w:rFonts w:eastAsia="Times New Roman"/>
          <w:spacing w:val="-2"/>
          <w:kern w:val="0"/>
          <w:szCs w:val="20"/>
          <w:lang w:val="en-US"/>
          <w14:ligatures w14:val="none"/>
        </w:rPr>
      </w:pPr>
    </w:p>
    <w:p w14:paraId="3181EFC0" w14:textId="1DB29EC1" w:rsidR="000609A2" w:rsidRPr="00F315B5" w:rsidRDefault="00A728B6" w:rsidP="0091308B">
      <w:pPr>
        <w:numPr>
          <w:ilvl w:val="0"/>
          <w:numId w:val="1"/>
        </w:numPr>
        <w:suppressAutoHyphens/>
        <w:spacing w:before="240" w:after="240" w:line="240" w:lineRule="auto"/>
        <w:ind w:left="426" w:right="141" w:hanging="426"/>
        <w:jc w:val="both"/>
        <w:rPr>
          <w:rFonts w:eastAsia="Times New Roman"/>
          <w:i/>
          <w:iCs/>
          <w:spacing w:val="-2"/>
          <w:kern w:val="0"/>
          <w:szCs w:val="20"/>
          <w:lang w:val="en-US"/>
          <w14:ligatures w14:val="none"/>
        </w:rPr>
      </w:pPr>
      <w:r w:rsidRPr="00564337">
        <w:rPr>
          <w:lang w:val="en-US"/>
        </w:rPr>
        <w:t xml:space="preserve">The Republic of Tajikistan has received financing from the World Bank toward the cost of the Tajikistan Preparedness and Resilience to </w:t>
      </w:r>
      <w:r w:rsidRPr="00F315B5">
        <w:rPr>
          <w:lang w:val="en-US"/>
        </w:rPr>
        <w:t xml:space="preserve">Disasters Project, and intends to apply part of the proceeds toward payments under the contract for the </w:t>
      </w:r>
      <w:r w:rsidR="00F315B5" w:rsidRPr="00F315B5">
        <w:rPr>
          <w:iCs/>
          <w:lang w:val="en-US"/>
        </w:rPr>
        <w:t>Purchasing and installation of</w:t>
      </w:r>
      <w:r w:rsidR="00F315B5" w:rsidRPr="00F315B5">
        <w:rPr>
          <w:lang w:val="en-US"/>
        </w:rPr>
        <w:t xml:space="preserve"> ICT equipment for 3 Regional Crisis Management Centers in the cities of Khujand, </w:t>
      </w:r>
      <w:proofErr w:type="spellStart"/>
      <w:r w:rsidR="00F315B5" w:rsidRPr="00F315B5">
        <w:rPr>
          <w:lang w:val="en-US"/>
        </w:rPr>
        <w:t>Khorog</w:t>
      </w:r>
      <w:proofErr w:type="spellEnd"/>
      <w:r w:rsidR="00F315B5" w:rsidRPr="00F315B5">
        <w:rPr>
          <w:lang w:val="en-US"/>
        </w:rPr>
        <w:t xml:space="preserve"> and Bokhtar</w:t>
      </w:r>
      <w:r w:rsidRPr="00F315B5">
        <w:rPr>
          <w:lang w:val="en-US"/>
        </w:rPr>
        <w:t>.</w:t>
      </w:r>
    </w:p>
    <w:p w14:paraId="60D759F0" w14:textId="1F1D9D14" w:rsidR="000609A2" w:rsidRPr="00564337" w:rsidRDefault="000609A2" w:rsidP="0091308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lang w:val="en-US"/>
          <w14:ligatures w14:val="none"/>
        </w:rPr>
        <w:t xml:space="preserve">2. </w:t>
      </w:r>
      <w:r w:rsidRPr="00564337">
        <w:rPr>
          <w:rFonts w:eastAsia="Times New Roman"/>
          <w:spacing w:val="-2"/>
          <w:kern w:val="0"/>
          <w:lang w:val="en-US"/>
          <w14:ligatures w14:val="none"/>
        </w:rPr>
        <w:tab/>
      </w:r>
      <w:r w:rsidR="00A728B6" w:rsidRPr="00564337">
        <w:rPr>
          <w:spacing w:val="-2"/>
          <w:lang w:val="en-US"/>
        </w:rPr>
        <w:t xml:space="preserve">The State Institution “Project Implementation Unit for Access to Green and Rural Development Finance” under Ministry of Finance of the Republic of Tajikistan (PIU MOF) now invites sealed Bids from eligible Bidders for supply of </w:t>
      </w:r>
      <w:r w:rsidR="00D825D5">
        <w:rPr>
          <w:spacing w:val="-2"/>
          <w:lang w:val="en-US"/>
        </w:rPr>
        <w:t xml:space="preserve">ICT </w:t>
      </w:r>
      <w:r w:rsidR="00F315B5" w:rsidRPr="00F315B5">
        <w:rPr>
          <w:lang w:val="en-US"/>
        </w:rPr>
        <w:t>equipment for 3 Regional Crisis Management Centers</w:t>
      </w:r>
      <w:r w:rsidR="00A728B6" w:rsidRPr="00564337">
        <w:rPr>
          <w:lang w:val="en-US"/>
        </w:rPr>
        <w:t>.</w:t>
      </w:r>
    </w:p>
    <w:p w14:paraId="40A22713" w14:textId="6A5DFBF8" w:rsidR="000609A2" w:rsidRPr="00C227F0" w:rsidRDefault="000609A2" w:rsidP="0091308B">
      <w:pPr>
        <w:suppressAutoHyphen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lang w:val="en-US"/>
          <w14:ligatures w14:val="none"/>
        </w:rPr>
        <w:t xml:space="preserve">3. </w:t>
      </w:r>
      <w:r w:rsidRPr="00564337">
        <w:rPr>
          <w:rFonts w:eastAsia="Times New Roman"/>
          <w:spacing w:val="-2"/>
          <w:kern w:val="0"/>
          <w:lang w:val="en-US"/>
          <w14:ligatures w14:val="none"/>
        </w:rPr>
        <w:tab/>
      </w:r>
      <w:r w:rsidR="002479A0" w:rsidRPr="00564337">
        <w:rPr>
          <w:spacing w:val="-2"/>
          <w:lang w:val="en-US"/>
        </w:rPr>
        <w:t>Bidding will be conducted through international competitive procurement using a Request for Bids (RFB) as specified in the World Bank’s “Procurement Regulations for IPF Borrowers” forth edition, November 2020 (“Procurement Regulations”), and is open to all eligible Bidders as defined in the Procurement Regulations.</w:t>
      </w:r>
      <w:r w:rsidRPr="00564337">
        <w:rPr>
          <w:rFonts w:eastAsia="Times New Roman"/>
          <w:spacing w:val="-2"/>
          <w:kern w:val="0"/>
          <w:lang w:val="en-US"/>
          <w14:ligatures w14:val="none"/>
        </w:rPr>
        <w:t xml:space="preserve"> </w:t>
      </w:r>
    </w:p>
    <w:p w14:paraId="44EB3D84" w14:textId="77777777" w:rsidR="002479A0" w:rsidRPr="00564337" w:rsidRDefault="000609A2" w:rsidP="0091308B">
      <w:pPr>
        <w:suppressAutoHyphen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lang w:val="en-US"/>
          <w14:ligatures w14:val="none"/>
        </w:rPr>
        <w:t xml:space="preserve">4. </w:t>
      </w:r>
      <w:r w:rsidRPr="00564337">
        <w:rPr>
          <w:rFonts w:eastAsia="Times New Roman"/>
          <w:spacing w:val="-2"/>
          <w:kern w:val="0"/>
          <w:lang w:val="en-US"/>
          <w14:ligatures w14:val="none"/>
        </w:rPr>
        <w:tab/>
      </w:r>
      <w:r w:rsidR="002479A0" w:rsidRPr="00564337">
        <w:rPr>
          <w:spacing w:val="-2"/>
          <w:lang w:val="en-US"/>
        </w:rPr>
        <w:t>Interested</w:t>
      </w:r>
      <w:r w:rsidR="002479A0" w:rsidRPr="00564337">
        <w:rPr>
          <w:rFonts w:eastAsia="Times New Roman"/>
          <w:spacing w:val="-2"/>
          <w:kern w:val="0"/>
          <w:lang w:val="en-US"/>
          <w14:ligatures w14:val="none"/>
        </w:rPr>
        <w:t xml:space="preserve"> eligible Bidders may obtain further information from address below:</w:t>
      </w:r>
    </w:p>
    <w:p w14:paraId="0FA3DC7A" w14:textId="77777777" w:rsidR="002479A0" w:rsidRPr="002479A0" w:rsidRDefault="002479A0"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426" w:right="141" w:hanging="426"/>
        <w:jc w:val="both"/>
        <w:rPr>
          <w:rFonts w:eastAsia="Times New Roman"/>
          <w:spacing w:val="-2"/>
          <w:kern w:val="0"/>
          <w:highlight w:val="yellow"/>
          <w:lang w:val="en-US"/>
          <w14:ligatures w14:val="none"/>
        </w:rPr>
      </w:pPr>
    </w:p>
    <w:p w14:paraId="1C4E00E6" w14:textId="77777777" w:rsidR="002479A0" w:rsidRPr="002479A0" w:rsidRDefault="002479A0"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851" w:right="141"/>
        <w:jc w:val="both"/>
        <w:rPr>
          <w:rFonts w:eastAsia="Times New Roman"/>
          <w:spacing w:val="-2"/>
          <w:kern w:val="0"/>
          <w:lang w:val="en-US"/>
          <w14:ligatures w14:val="none"/>
        </w:rPr>
      </w:pPr>
      <w:r w:rsidRPr="002479A0">
        <w:rPr>
          <w:rFonts w:eastAsia="Times New Roman"/>
          <w:spacing w:val="-2"/>
          <w:kern w:val="0"/>
          <w:lang w:val="en-US"/>
          <w14:ligatures w14:val="none"/>
        </w:rPr>
        <w:t>Ministry of Finance of the Republic of Tajikistan</w:t>
      </w:r>
    </w:p>
    <w:p w14:paraId="77854374" w14:textId="6E1E45BF" w:rsidR="002479A0" w:rsidRPr="002479A0" w:rsidRDefault="00100F25"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851" w:right="141"/>
        <w:jc w:val="both"/>
        <w:rPr>
          <w:rFonts w:eastAsia="Times New Roman"/>
          <w:spacing w:val="-2"/>
          <w:kern w:val="0"/>
          <w:lang w:val="en-US"/>
          <w14:ligatures w14:val="none"/>
        </w:rPr>
      </w:pPr>
      <w:r w:rsidRPr="00564337">
        <w:rPr>
          <w:rFonts w:eastAsia="Times New Roman"/>
          <w:spacing w:val="-2"/>
          <w:kern w:val="0"/>
          <w:lang w:val="en-US"/>
          <w14:ligatures w14:val="none"/>
        </w:rPr>
        <w:t xml:space="preserve">35 </w:t>
      </w:r>
      <w:proofErr w:type="spellStart"/>
      <w:r w:rsidRPr="00564337">
        <w:rPr>
          <w:rFonts w:eastAsia="Times New Roman"/>
          <w:spacing w:val="-2"/>
          <w:kern w:val="0"/>
          <w:lang w:val="en-US"/>
          <w14:ligatures w14:val="none"/>
        </w:rPr>
        <w:t>Sheroz</w:t>
      </w:r>
      <w:proofErr w:type="spellEnd"/>
      <w:r w:rsidR="002479A0" w:rsidRPr="002479A0">
        <w:rPr>
          <w:rFonts w:eastAsia="Times New Roman"/>
          <w:spacing w:val="-2"/>
          <w:kern w:val="0"/>
          <w:lang w:val="en-US"/>
          <w14:ligatures w14:val="none"/>
        </w:rPr>
        <w:t xml:space="preserve"> Str. (building of the Ministry of Finance of the Republic of Tajikistan), Dushanbe, 7340</w:t>
      </w:r>
      <w:r w:rsidR="000F1228">
        <w:rPr>
          <w:rFonts w:eastAsia="Times New Roman"/>
          <w:spacing w:val="-2"/>
          <w:kern w:val="0"/>
          <w:lang w:val="en-US"/>
          <w14:ligatures w14:val="none"/>
        </w:rPr>
        <w:t>25</w:t>
      </w:r>
    </w:p>
    <w:p w14:paraId="4E79B96B" w14:textId="77777777" w:rsidR="002479A0" w:rsidRPr="002479A0" w:rsidRDefault="002479A0"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851" w:right="141"/>
        <w:jc w:val="both"/>
        <w:rPr>
          <w:rFonts w:eastAsia="Times New Roman"/>
          <w:spacing w:val="-2"/>
          <w:kern w:val="0"/>
          <w:lang w:val="en-US"/>
          <w14:ligatures w14:val="none"/>
        </w:rPr>
      </w:pPr>
      <w:r w:rsidRPr="002479A0">
        <w:rPr>
          <w:rFonts w:eastAsia="Times New Roman"/>
          <w:spacing w:val="-2"/>
          <w:kern w:val="0"/>
          <w:lang w:val="en-US"/>
          <w14:ligatures w14:val="none"/>
        </w:rPr>
        <w:t>State Institution “Project Implementation Unit for Access to Green and Rural Development Finance” under Ministry of Finance of the Republic of Tajikistan</w:t>
      </w:r>
    </w:p>
    <w:p w14:paraId="2ECB1683" w14:textId="77777777" w:rsidR="002479A0" w:rsidRPr="002479A0" w:rsidRDefault="002479A0"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851" w:right="141"/>
        <w:jc w:val="both"/>
        <w:rPr>
          <w:rFonts w:eastAsia="Times New Roman"/>
          <w:spacing w:val="-2"/>
          <w:kern w:val="0"/>
          <w:lang w:val="en-US"/>
          <w14:ligatures w14:val="none"/>
        </w:rPr>
      </w:pPr>
      <w:r w:rsidRPr="002479A0">
        <w:rPr>
          <w:rFonts w:eastAsia="Times New Roman"/>
          <w:spacing w:val="-2"/>
          <w:kern w:val="0"/>
          <w:lang w:val="en-US"/>
          <w14:ligatures w14:val="none"/>
        </w:rPr>
        <w:t xml:space="preserve">E-mail: </w:t>
      </w:r>
      <w:hyperlink r:id="rId7" w:history="1">
        <w:r w:rsidRPr="002479A0">
          <w:rPr>
            <w:rFonts w:eastAsia="Times New Roman"/>
            <w:color w:val="0000FF"/>
            <w:kern w:val="0"/>
            <w:u w:val="single"/>
            <w:lang w:val="en-US"/>
            <w14:ligatures w14:val="none"/>
          </w:rPr>
          <w:t>q.nasim@piumof.tj</w:t>
        </w:r>
      </w:hyperlink>
      <w:r w:rsidRPr="002479A0">
        <w:rPr>
          <w:rFonts w:eastAsia="Times New Roman"/>
          <w:spacing w:val="-2"/>
          <w:kern w:val="0"/>
          <w:lang w:val="en-US"/>
          <w14:ligatures w14:val="none"/>
        </w:rPr>
        <w:t xml:space="preserve"> </w:t>
      </w:r>
    </w:p>
    <w:p w14:paraId="402B74DC" w14:textId="77777777" w:rsidR="002479A0" w:rsidRPr="002479A0" w:rsidRDefault="002479A0"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851" w:right="141"/>
        <w:jc w:val="both"/>
        <w:rPr>
          <w:rFonts w:eastAsia="Times New Roman"/>
          <w:spacing w:val="-2"/>
          <w:kern w:val="0"/>
          <w:lang w:val="en-US"/>
          <w14:ligatures w14:val="none"/>
        </w:rPr>
      </w:pPr>
    </w:p>
    <w:p w14:paraId="27C1EA68" w14:textId="49D25E02" w:rsidR="000609A2" w:rsidRPr="00564337" w:rsidRDefault="002479A0" w:rsidP="0091308B">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851" w:right="141"/>
        <w:jc w:val="both"/>
        <w:rPr>
          <w:rFonts w:eastAsia="Times New Roman"/>
          <w:spacing w:val="-2"/>
          <w:kern w:val="0"/>
          <w:lang w:val="en-US"/>
          <w14:ligatures w14:val="none"/>
        </w:rPr>
      </w:pPr>
      <w:r w:rsidRPr="00564337">
        <w:rPr>
          <w:rFonts w:eastAsia="Times New Roman"/>
          <w:spacing w:val="-2"/>
          <w:kern w:val="0"/>
          <w:lang w:val="en-US"/>
          <w14:ligatures w14:val="none"/>
        </w:rPr>
        <w:t>and inspect the bidding documents at the same address as above during office hours from 09:00 to 17:00 hours (Dushanbe time).</w:t>
      </w:r>
      <w:r w:rsidR="00C227F0" w:rsidRPr="00C227F0">
        <w:rPr>
          <w:lang w:val="en-US"/>
        </w:rPr>
        <w:t xml:space="preserve"> </w:t>
      </w:r>
      <w:r w:rsidR="00C227F0" w:rsidRPr="00C227F0">
        <w:rPr>
          <w:rFonts w:eastAsia="Times New Roman"/>
          <w:spacing w:val="-2"/>
          <w:kern w:val="0"/>
          <w:lang w:val="en-US"/>
          <w14:ligatures w14:val="none"/>
        </w:rPr>
        <w:t>From March 20 to March 29, 2026 are non-working days in Tajikistan.</w:t>
      </w:r>
    </w:p>
    <w:p w14:paraId="554A5DD7" w14:textId="5376ACA7" w:rsidR="000609A2" w:rsidRPr="00564337" w:rsidRDefault="000609A2" w:rsidP="0091308B">
      <w:pPr>
        <w:suppressAutoHyphen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lang w:val="en-US"/>
          <w14:ligatures w14:val="none"/>
        </w:rPr>
        <w:t xml:space="preserve">5. </w:t>
      </w:r>
      <w:r w:rsidRPr="00564337">
        <w:rPr>
          <w:rFonts w:eastAsia="Times New Roman"/>
          <w:spacing w:val="-2"/>
          <w:kern w:val="0"/>
          <w:lang w:val="en-US"/>
          <w14:ligatures w14:val="none"/>
        </w:rPr>
        <w:tab/>
      </w:r>
      <w:r w:rsidR="0054279B" w:rsidRPr="00564337">
        <w:rPr>
          <w:spacing w:val="-2"/>
          <w:lang w:val="en-US"/>
        </w:rPr>
        <w:t>A complete set of bidding documents in English may be obtained by interested eligible Bidders upon the submission of a written application to the above-mentioned address. The document will be sent by e-mail in PDF format.</w:t>
      </w:r>
    </w:p>
    <w:p w14:paraId="20FED494" w14:textId="488AE81F" w:rsidR="000609A2" w:rsidRPr="00564337" w:rsidRDefault="000609A2" w:rsidP="0091308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lang w:val="en-US"/>
          <w14:ligatures w14:val="none"/>
        </w:rPr>
        <w:t xml:space="preserve">6. </w:t>
      </w:r>
      <w:r w:rsidRPr="00564337">
        <w:rPr>
          <w:rFonts w:eastAsia="Times New Roman"/>
          <w:spacing w:val="-2"/>
          <w:kern w:val="0"/>
          <w:lang w:val="en-US"/>
          <w14:ligatures w14:val="none"/>
        </w:rPr>
        <w:tab/>
        <w:t xml:space="preserve">Bids must be delivered to the address below on </w:t>
      </w:r>
      <w:r w:rsidRPr="002D2813">
        <w:rPr>
          <w:rFonts w:eastAsia="Times New Roman"/>
          <w:spacing w:val="-2"/>
          <w:kern w:val="0"/>
          <w:lang w:val="en-US"/>
          <w14:ligatures w14:val="none"/>
        </w:rPr>
        <w:t xml:space="preserve">or before </w:t>
      </w:r>
      <w:r w:rsidR="000C6E44" w:rsidRPr="002D2813">
        <w:rPr>
          <w:rFonts w:eastAsia="Times New Roman"/>
          <w:b/>
          <w:bCs/>
          <w:spacing w:val="-2"/>
          <w:kern w:val="0"/>
          <w:lang w:val="en-US"/>
          <w14:ligatures w14:val="none"/>
        </w:rPr>
        <w:t>M</w:t>
      </w:r>
      <w:r w:rsidR="00347851" w:rsidRPr="002D2813">
        <w:rPr>
          <w:rFonts w:eastAsia="Times New Roman"/>
          <w:b/>
          <w:bCs/>
          <w:spacing w:val="-2"/>
          <w:kern w:val="0"/>
          <w:lang w:val="en-US"/>
          <w14:ligatures w14:val="none"/>
        </w:rPr>
        <w:t>ay</w:t>
      </w:r>
      <w:r w:rsidR="000C6E44" w:rsidRPr="002D2813">
        <w:rPr>
          <w:rFonts w:eastAsia="Times New Roman"/>
          <w:b/>
          <w:bCs/>
          <w:spacing w:val="-2"/>
          <w:kern w:val="0"/>
          <w:lang w:val="en-US"/>
          <w14:ligatures w14:val="none"/>
        </w:rPr>
        <w:t xml:space="preserve"> </w:t>
      </w:r>
      <w:r w:rsidR="00347851" w:rsidRPr="002D2813">
        <w:rPr>
          <w:rFonts w:eastAsia="Times New Roman"/>
          <w:b/>
          <w:bCs/>
          <w:spacing w:val="-2"/>
          <w:kern w:val="0"/>
          <w:lang w:val="en-US"/>
          <w14:ligatures w14:val="none"/>
        </w:rPr>
        <w:t>0</w:t>
      </w:r>
      <w:r w:rsidR="002D2813" w:rsidRPr="002D2813">
        <w:rPr>
          <w:rFonts w:eastAsia="Times New Roman"/>
          <w:b/>
          <w:bCs/>
          <w:spacing w:val="-2"/>
          <w:kern w:val="0"/>
          <w:lang w:val="en-US"/>
          <w14:ligatures w14:val="none"/>
        </w:rPr>
        <w:t>6</w:t>
      </w:r>
      <w:r w:rsidR="000C6E44" w:rsidRPr="002D2813">
        <w:rPr>
          <w:rFonts w:eastAsia="Times New Roman"/>
          <w:b/>
          <w:bCs/>
          <w:spacing w:val="-2"/>
          <w:kern w:val="0"/>
          <w:lang w:val="en-US"/>
          <w14:ligatures w14:val="none"/>
        </w:rPr>
        <w:t>, 202</w:t>
      </w:r>
      <w:r w:rsidR="00347851" w:rsidRPr="002D2813">
        <w:rPr>
          <w:rFonts w:eastAsia="Times New Roman"/>
          <w:b/>
          <w:bCs/>
          <w:spacing w:val="-2"/>
          <w:kern w:val="0"/>
          <w:lang w:val="en-US"/>
          <w14:ligatures w14:val="none"/>
        </w:rPr>
        <w:t>6</w:t>
      </w:r>
      <w:r w:rsidR="000C6E44" w:rsidRPr="002D2813">
        <w:rPr>
          <w:rFonts w:eastAsia="Times New Roman"/>
          <w:b/>
          <w:bCs/>
          <w:spacing w:val="-2"/>
          <w:kern w:val="0"/>
          <w:lang w:val="en-US"/>
          <w14:ligatures w14:val="none"/>
        </w:rPr>
        <w:t xml:space="preserve"> 15:00 (Dushanbe</w:t>
      </w:r>
      <w:r w:rsidR="000C6E44" w:rsidRPr="006C27E0">
        <w:rPr>
          <w:rFonts w:eastAsia="Times New Roman"/>
          <w:b/>
          <w:bCs/>
          <w:spacing w:val="-2"/>
          <w:kern w:val="0"/>
          <w:lang w:val="en-US"/>
          <w14:ligatures w14:val="none"/>
        </w:rPr>
        <w:t xml:space="preserve"> time)</w:t>
      </w:r>
      <w:r w:rsidRPr="0079222C">
        <w:rPr>
          <w:rFonts w:eastAsia="Times New Roman"/>
          <w:i/>
          <w:spacing w:val="-2"/>
          <w:kern w:val="0"/>
          <w:lang w:val="en-US"/>
          <w14:ligatures w14:val="none"/>
        </w:rPr>
        <w:t>.</w:t>
      </w:r>
      <w:r w:rsidRPr="0079222C">
        <w:rPr>
          <w:rFonts w:eastAsia="Times New Roman"/>
          <w:kern w:val="0"/>
          <w:lang w:val="en-US"/>
          <w14:ligatures w14:val="none"/>
        </w:rPr>
        <w:t xml:space="preserve"> Electronic Bidding will not be permitted.</w:t>
      </w:r>
      <w:r w:rsidRPr="0079222C">
        <w:rPr>
          <w:rFonts w:eastAsia="Times New Roman"/>
          <w:spacing w:val="-2"/>
          <w:kern w:val="0"/>
          <w:lang w:val="en-US"/>
          <w14:ligatures w14:val="none"/>
        </w:rPr>
        <w:t xml:space="preserve"> Late Bids will be rejected. The outer</w:t>
      </w:r>
      <w:r w:rsidRPr="00564337">
        <w:rPr>
          <w:rFonts w:eastAsia="Times New Roman"/>
          <w:spacing w:val="-2"/>
          <w:kern w:val="0"/>
          <w:lang w:val="en-US"/>
          <w14:ligatures w14:val="none"/>
        </w:rPr>
        <w:t xml:space="preserve"> Bid envelopes marked “</w:t>
      </w:r>
      <w:r w:rsidRPr="00564337">
        <w:rPr>
          <w:rFonts w:eastAsia="Times New Roman"/>
          <w:smallCaps/>
          <w:spacing w:val="-2"/>
          <w:kern w:val="0"/>
          <w:lang w:val="en-US"/>
          <w14:ligatures w14:val="none"/>
        </w:rPr>
        <w:t>Original Bid</w:t>
      </w:r>
      <w:r w:rsidRPr="00564337">
        <w:rPr>
          <w:rFonts w:eastAsia="Times New Roman"/>
          <w:spacing w:val="-2"/>
          <w:kern w:val="0"/>
          <w:lang w:val="en-US"/>
          <w14:ligatures w14:val="none"/>
        </w:rPr>
        <w:t>”, and the inner envelopes marked “</w:t>
      </w:r>
      <w:r w:rsidRPr="00564337">
        <w:rPr>
          <w:rFonts w:eastAsia="Times New Roman"/>
          <w:smallCaps/>
          <w:spacing w:val="-2"/>
          <w:kern w:val="0"/>
          <w:lang w:val="en-US"/>
          <w14:ligatures w14:val="none"/>
        </w:rPr>
        <w:t>Technical Part</w:t>
      </w:r>
      <w:r w:rsidRPr="00564337">
        <w:rPr>
          <w:rFonts w:eastAsia="Times New Roman"/>
          <w:spacing w:val="-2"/>
          <w:kern w:val="0"/>
          <w:lang w:val="en-US"/>
          <w14:ligatures w14:val="none"/>
        </w:rPr>
        <w:t xml:space="preserve">” will be publicly opened in the presence of the Bidders’ designated representatives and anyone who </w:t>
      </w:r>
      <w:r w:rsidRPr="00564337">
        <w:rPr>
          <w:rFonts w:eastAsia="Times New Roman"/>
          <w:spacing w:val="-2"/>
          <w:kern w:val="0"/>
          <w:lang w:val="en-US"/>
          <w14:ligatures w14:val="none"/>
        </w:rPr>
        <w:lastRenderedPageBreak/>
        <w:t xml:space="preserve">chooses to attend, at the address below </w:t>
      </w:r>
      <w:r w:rsidRPr="002D2813">
        <w:rPr>
          <w:rFonts w:eastAsia="Times New Roman"/>
          <w:spacing w:val="-2"/>
          <w:kern w:val="0"/>
          <w:lang w:val="en-US"/>
          <w14:ligatures w14:val="none"/>
        </w:rPr>
        <w:t xml:space="preserve">on </w:t>
      </w:r>
      <w:r w:rsidR="00D144EA" w:rsidRPr="002D2813">
        <w:rPr>
          <w:rFonts w:eastAsia="Times New Roman"/>
          <w:b/>
          <w:bCs/>
          <w:spacing w:val="-2"/>
          <w:kern w:val="0"/>
          <w:lang w:val="en-US"/>
          <w14:ligatures w14:val="none"/>
        </w:rPr>
        <w:t>M</w:t>
      </w:r>
      <w:r w:rsidR="007E588C" w:rsidRPr="002D2813">
        <w:rPr>
          <w:rFonts w:eastAsia="Times New Roman"/>
          <w:b/>
          <w:bCs/>
          <w:spacing w:val="-2"/>
          <w:kern w:val="0"/>
          <w:lang w:val="en-US"/>
          <w14:ligatures w14:val="none"/>
        </w:rPr>
        <w:t>ay</w:t>
      </w:r>
      <w:r w:rsidR="00D144EA" w:rsidRPr="002D2813">
        <w:rPr>
          <w:rFonts w:eastAsia="Times New Roman"/>
          <w:b/>
          <w:bCs/>
          <w:spacing w:val="-2"/>
          <w:kern w:val="0"/>
          <w:lang w:val="en-US"/>
          <w14:ligatures w14:val="none"/>
        </w:rPr>
        <w:t xml:space="preserve"> </w:t>
      </w:r>
      <w:r w:rsidR="007E588C" w:rsidRPr="002D2813">
        <w:rPr>
          <w:rFonts w:eastAsia="Times New Roman"/>
          <w:b/>
          <w:bCs/>
          <w:spacing w:val="-2"/>
          <w:kern w:val="0"/>
          <w:lang w:val="en-US"/>
          <w14:ligatures w14:val="none"/>
        </w:rPr>
        <w:t>0</w:t>
      </w:r>
      <w:r w:rsidR="002D2813" w:rsidRPr="002D2813">
        <w:rPr>
          <w:rFonts w:eastAsia="Times New Roman"/>
          <w:b/>
          <w:bCs/>
          <w:spacing w:val="-2"/>
          <w:kern w:val="0"/>
          <w:lang w:val="en-US"/>
          <w14:ligatures w14:val="none"/>
        </w:rPr>
        <w:t>6</w:t>
      </w:r>
      <w:r w:rsidR="00D144EA" w:rsidRPr="002D2813">
        <w:rPr>
          <w:rFonts w:eastAsia="Times New Roman"/>
          <w:b/>
          <w:bCs/>
          <w:spacing w:val="-2"/>
          <w:kern w:val="0"/>
          <w:lang w:val="en-US"/>
          <w14:ligatures w14:val="none"/>
        </w:rPr>
        <w:t>, 202</w:t>
      </w:r>
      <w:r w:rsidR="007E588C" w:rsidRPr="002D2813">
        <w:rPr>
          <w:rFonts w:eastAsia="Times New Roman"/>
          <w:b/>
          <w:bCs/>
          <w:spacing w:val="-2"/>
          <w:kern w:val="0"/>
          <w:lang w:val="en-US"/>
          <w14:ligatures w14:val="none"/>
        </w:rPr>
        <w:t>6</w:t>
      </w:r>
      <w:r w:rsidR="00D144EA" w:rsidRPr="002D2813">
        <w:rPr>
          <w:rFonts w:eastAsia="Times New Roman"/>
          <w:b/>
          <w:bCs/>
          <w:spacing w:val="-2"/>
          <w:kern w:val="0"/>
          <w:lang w:val="en-US"/>
          <w14:ligatures w14:val="none"/>
        </w:rPr>
        <w:t xml:space="preserve"> 15:</w:t>
      </w:r>
      <w:r w:rsidR="00D144EA" w:rsidRPr="006C27E0">
        <w:rPr>
          <w:rFonts w:eastAsia="Times New Roman"/>
          <w:b/>
          <w:bCs/>
          <w:spacing w:val="-2"/>
          <w:kern w:val="0"/>
          <w:lang w:val="en-US"/>
          <w14:ligatures w14:val="none"/>
        </w:rPr>
        <w:t>0</w:t>
      </w:r>
      <w:r w:rsidR="007E588C">
        <w:rPr>
          <w:rFonts w:eastAsia="Times New Roman"/>
          <w:b/>
          <w:bCs/>
          <w:spacing w:val="-2"/>
          <w:kern w:val="0"/>
          <w:lang w:val="en-US"/>
          <w14:ligatures w14:val="none"/>
        </w:rPr>
        <w:t>5</w:t>
      </w:r>
      <w:r w:rsidR="00D144EA" w:rsidRPr="006C27E0">
        <w:rPr>
          <w:rFonts w:eastAsia="Times New Roman"/>
          <w:b/>
          <w:bCs/>
          <w:spacing w:val="-2"/>
          <w:kern w:val="0"/>
          <w:lang w:val="en-US"/>
          <w14:ligatures w14:val="none"/>
        </w:rPr>
        <w:t xml:space="preserve"> (Dushanbe time)</w:t>
      </w:r>
      <w:r w:rsidRPr="006C27E0">
        <w:rPr>
          <w:rFonts w:eastAsia="Times New Roman"/>
          <w:b/>
          <w:bCs/>
          <w:spacing w:val="-2"/>
          <w:kern w:val="0"/>
          <w:lang w:val="en-US"/>
          <w14:ligatures w14:val="none"/>
        </w:rPr>
        <w:t>.</w:t>
      </w:r>
      <w:r w:rsidRPr="00564337">
        <w:rPr>
          <w:rFonts w:eastAsia="Times New Roman"/>
          <w:spacing w:val="-2"/>
          <w:kern w:val="0"/>
          <w:vertAlign w:val="superscript"/>
          <w:lang w:val="en-US"/>
          <w14:ligatures w14:val="none"/>
        </w:rPr>
        <w:t xml:space="preserve"> </w:t>
      </w:r>
      <w:r w:rsidRPr="00564337">
        <w:rPr>
          <w:rFonts w:eastAsia="Times New Roman"/>
          <w:spacing w:val="-2"/>
          <w:kern w:val="0"/>
          <w:lang w:val="en-US"/>
          <w14:ligatures w14:val="none"/>
        </w:rPr>
        <w:t>All envelopes marked “</w:t>
      </w:r>
      <w:r w:rsidRPr="00564337">
        <w:rPr>
          <w:rFonts w:eastAsia="Times New Roman"/>
          <w:smallCaps/>
          <w:kern w:val="0"/>
          <w:szCs w:val="20"/>
          <w:lang w:val="en-US"/>
          <w14:ligatures w14:val="none"/>
        </w:rPr>
        <w:t xml:space="preserve">Second Envelope: </w:t>
      </w:r>
      <w:r w:rsidRPr="00564337">
        <w:rPr>
          <w:rFonts w:eastAsia="Times New Roman"/>
          <w:smallCaps/>
          <w:spacing w:val="-2"/>
          <w:kern w:val="0"/>
          <w:lang w:val="en-US"/>
          <w14:ligatures w14:val="none"/>
        </w:rPr>
        <w:t>Financial Part</w:t>
      </w:r>
      <w:r w:rsidRPr="00564337">
        <w:rPr>
          <w:rFonts w:eastAsia="Times New Roman"/>
          <w:spacing w:val="-2"/>
          <w:kern w:val="0"/>
          <w:lang w:val="en-US"/>
          <w14:ligatures w14:val="none"/>
        </w:rPr>
        <w:t>” shall remain unopened and will be held in safe custody of the Purchaser until the second public opening.</w:t>
      </w:r>
    </w:p>
    <w:p w14:paraId="6B2DF294" w14:textId="4681696D" w:rsidR="000609A2" w:rsidRPr="00564337" w:rsidRDefault="000609A2" w:rsidP="0091308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lang w:val="en-US"/>
          <w14:ligatures w14:val="none"/>
        </w:rPr>
        <w:t xml:space="preserve">7. </w:t>
      </w:r>
      <w:r w:rsidRPr="00564337">
        <w:rPr>
          <w:rFonts w:eastAsia="Times New Roman"/>
          <w:spacing w:val="-2"/>
          <w:kern w:val="0"/>
          <w:lang w:val="en-US"/>
          <w14:ligatures w14:val="none"/>
        </w:rPr>
        <w:tab/>
        <w:t xml:space="preserve">All Bids must be accompanied by a </w:t>
      </w:r>
      <w:r w:rsidR="0069006E" w:rsidRPr="00564337">
        <w:rPr>
          <w:iCs/>
          <w:spacing w:val="-2"/>
          <w:lang w:val="en-US"/>
        </w:rPr>
        <w:t xml:space="preserve">“Bid Security” of: </w:t>
      </w:r>
      <w:r w:rsidR="007E588C">
        <w:rPr>
          <w:iCs/>
          <w:spacing w:val="-2"/>
          <w:lang w:val="en-US"/>
        </w:rPr>
        <w:t>54</w:t>
      </w:r>
      <w:r w:rsidR="0069006E" w:rsidRPr="00564337">
        <w:rPr>
          <w:bCs/>
          <w:lang w:val="en-US"/>
        </w:rPr>
        <w:t>,000 USD</w:t>
      </w:r>
      <w:r w:rsidRPr="00564337">
        <w:rPr>
          <w:rFonts w:eastAsia="Times New Roman"/>
          <w:spacing w:val="-2"/>
          <w:kern w:val="0"/>
          <w:lang w:val="en-US"/>
          <w14:ligatures w14:val="none"/>
        </w:rPr>
        <w:t>.</w:t>
      </w:r>
    </w:p>
    <w:p w14:paraId="5CBFF62D" w14:textId="77777777" w:rsidR="000609A2" w:rsidRPr="00564337" w:rsidRDefault="000609A2" w:rsidP="0091308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26" w:right="141" w:hanging="426"/>
        <w:jc w:val="both"/>
        <w:rPr>
          <w:rFonts w:eastAsia="Times New Roman"/>
          <w:spacing w:val="-2"/>
          <w:kern w:val="0"/>
          <w:lang w:val="en-US"/>
          <w14:ligatures w14:val="none"/>
        </w:rPr>
      </w:pPr>
      <w:r w:rsidRPr="00564337">
        <w:rPr>
          <w:rFonts w:eastAsia="Times New Roman"/>
          <w:spacing w:val="-2"/>
          <w:kern w:val="0"/>
          <w:szCs w:val="20"/>
          <w:lang w:val="en-US"/>
          <w14:ligatures w14:val="none"/>
        </w:rPr>
        <w:t xml:space="preserve">8. </w:t>
      </w:r>
      <w:r w:rsidRPr="00564337">
        <w:rPr>
          <w:rFonts w:eastAsia="Times New Roman"/>
          <w:spacing w:val="-2"/>
          <w:kern w:val="0"/>
          <w:szCs w:val="20"/>
          <w:lang w:val="en-US"/>
          <w14:ligatures w14:val="none"/>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4B53F117" w14:textId="7DD4B166" w:rsidR="000609A2" w:rsidRPr="00564337" w:rsidRDefault="000609A2" w:rsidP="0091308B">
      <w:pPr>
        <w:suppressAutoHyphens/>
        <w:spacing w:before="240" w:after="240" w:line="240" w:lineRule="auto"/>
        <w:ind w:left="426" w:right="141" w:hanging="426"/>
        <w:jc w:val="both"/>
        <w:rPr>
          <w:rFonts w:eastAsia="Times New Roman"/>
          <w:i/>
          <w:kern w:val="0"/>
          <w:lang w:val="en-US"/>
          <w14:ligatures w14:val="none"/>
        </w:rPr>
      </w:pPr>
      <w:r w:rsidRPr="00564337">
        <w:rPr>
          <w:rFonts w:eastAsia="Times New Roman"/>
          <w:iCs/>
          <w:spacing w:val="-2"/>
          <w:kern w:val="0"/>
          <w:lang w:val="en-US"/>
          <w14:ligatures w14:val="none"/>
        </w:rPr>
        <w:t>9.</w:t>
      </w:r>
      <w:r w:rsidRPr="00564337">
        <w:rPr>
          <w:rFonts w:eastAsia="Times New Roman"/>
          <w:iCs/>
          <w:spacing w:val="-2"/>
          <w:kern w:val="0"/>
          <w:lang w:val="en-US"/>
          <w14:ligatures w14:val="none"/>
        </w:rPr>
        <w:tab/>
      </w:r>
      <w:r w:rsidR="00FB042E" w:rsidRPr="00564337">
        <w:rPr>
          <w:iCs/>
          <w:lang w:val="en-US"/>
        </w:rPr>
        <w:t>The address referred to above under para 6 is</w:t>
      </w:r>
      <w:r w:rsidRPr="00564337">
        <w:rPr>
          <w:rFonts w:eastAsia="Times New Roman"/>
          <w:iCs/>
          <w:kern w:val="0"/>
          <w:lang w:val="en-US"/>
          <w14:ligatures w14:val="none"/>
        </w:rPr>
        <w:t xml:space="preserve">: </w:t>
      </w:r>
    </w:p>
    <w:p w14:paraId="2311002E" w14:textId="77777777" w:rsidR="00FB042E" w:rsidRPr="00FB042E" w:rsidRDefault="00FB042E" w:rsidP="0091308B">
      <w:pPr>
        <w:spacing w:after="0" w:line="240" w:lineRule="auto"/>
        <w:ind w:left="426" w:right="141" w:hanging="426"/>
        <w:jc w:val="center"/>
        <w:rPr>
          <w:rFonts w:eastAsia="Times New Roman"/>
          <w:bCs/>
          <w:iCs/>
          <w:kern w:val="0"/>
          <w:lang w:val="en-US"/>
          <w14:ligatures w14:val="none"/>
        </w:rPr>
      </w:pPr>
      <w:r w:rsidRPr="00FB042E">
        <w:rPr>
          <w:rFonts w:eastAsia="Times New Roman"/>
          <w:bCs/>
          <w:iCs/>
          <w:kern w:val="0"/>
          <w:lang w:val="en-US"/>
          <w14:ligatures w14:val="none"/>
        </w:rPr>
        <w:t>State Committee for Investment and State Property</w:t>
      </w:r>
    </w:p>
    <w:p w14:paraId="5E40A286" w14:textId="77777777" w:rsidR="00FB042E" w:rsidRPr="00FB042E" w:rsidRDefault="00FB042E" w:rsidP="0091308B">
      <w:pPr>
        <w:spacing w:after="0" w:line="240" w:lineRule="auto"/>
        <w:ind w:left="426" w:right="141" w:hanging="426"/>
        <w:jc w:val="center"/>
        <w:rPr>
          <w:rFonts w:eastAsia="Times New Roman"/>
          <w:bCs/>
          <w:iCs/>
          <w:kern w:val="0"/>
          <w:lang w:val="en-US"/>
          <w14:ligatures w14:val="none"/>
        </w:rPr>
      </w:pPr>
      <w:r w:rsidRPr="00FB042E">
        <w:rPr>
          <w:rFonts w:eastAsia="Times New Roman"/>
          <w:bCs/>
          <w:iCs/>
          <w:kern w:val="0"/>
          <w:lang w:val="en-US"/>
          <w14:ligatures w14:val="none"/>
        </w:rPr>
        <w:t>Management of the Republic of Tajikistan</w:t>
      </w:r>
    </w:p>
    <w:p w14:paraId="70A7E942" w14:textId="5E858839" w:rsidR="00FB042E" w:rsidRPr="00FB042E" w:rsidRDefault="00FB042E" w:rsidP="0091308B">
      <w:pPr>
        <w:tabs>
          <w:tab w:val="left" w:pos="3402"/>
        </w:tabs>
        <w:spacing w:after="0" w:line="240" w:lineRule="auto"/>
        <w:ind w:left="426" w:right="141" w:hanging="426"/>
        <w:jc w:val="center"/>
        <w:rPr>
          <w:rFonts w:eastAsia="Times New Roman"/>
          <w:bCs/>
          <w:iCs/>
          <w:kern w:val="0"/>
          <w:lang w:val="en-US"/>
          <w14:ligatures w14:val="none"/>
        </w:rPr>
      </w:pPr>
      <w:r w:rsidRPr="00FB042E">
        <w:rPr>
          <w:rFonts w:eastAsia="Times New Roman"/>
          <w:bCs/>
          <w:iCs/>
          <w:kern w:val="0"/>
          <w:lang w:val="en-US"/>
          <w14:ligatures w14:val="none"/>
        </w:rPr>
        <w:t>Address</w:t>
      </w:r>
      <w:r w:rsidRPr="00AA6CCF">
        <w:rPr>
          <w:rFonts w:eastAsia="Times New Roman"/>
          <w:bCs/>
          <w:iCs/>
          <w:kern w:val="0"/>
          <w:lang w:val="en-US"/>
          <w14:ligatures w14:val="none"/>
        </w:rPr>
        <w:t xml:space="preserve">: </w:t>
      </w:r>
      <w:r w:rsidR="00AA6CCF" w:rsidRPr="000A25E9">
        <w:rPr>
          <w:rFonts w:eastAsia="Times New Roman"/>
          <w:bCs/>
          <w:iCs/>
          <w:kern w:val="0"/>
          <w:lang w:val="en-US"/>
          <w14:ligatures w14:val="none"/>
        </w:rPr>
        <w:t>40</w:t>
      </w:r>
      <w:r w:rsidRPr="000A25E9">
        <w:rPr>
          <w:rFonts w:eastAsia="Times New Roman"/>
          <w:bCs/>
          <w:iCs/>
          <w:kern w:val="0"/>
          <w:lang w:val="en-US"/>
          <w14:ligatures w14:val="none"/>
        </w:rPr>
        <w:t xml:space="preserve"> </w:t>
      </w:r>
      <w:proofErr w:type="spellStart"/>
      <w:r w:rsidR="00AA6CCF" w:rsidRPr="000A25E9">
        <w:rPr>
          <w:bCs/>
          <w:lang w:val="en-US"/>
        </w:rPr>
        <w:t>Rudaki</w:t>
      </w:r>
      <w:proofErr w:type="spellEnd"/>
      <w:r w:rsidR="00AA6CCF" w:rsidRPr="000A25E9">
        <w:rPr>
          <w:bCs/>
          <w:lang w:val="en-US"/>
        </w:rPr>
        <w:t xml:space="preserve"> Avenue</w:t>
      </w:r>
      <w:r w:rsidRPr="000A25E9">
        <w:rPr>
          <w:rFonts w:eastAsia="Times New Roman"/>
          <w:bCs/>
          <w:iCs/>
          <w:kern w:val="0"/>
          <w:lang w:val="en-US"/>
          <w14:ligatures w14:val="none"/>
        </w:rPr>
        <w:t xml:space="preserve">, </w:t>
      </w:r>
      <w:r w:rsidR="000A25E9" w:rsidRPr="000A25E9">
        <w:rPr>
          <w:bCs/>
          <w:spacing w:val="-2"/>
          <w:lang w:val="en-US"/>
        </w:rPr>
        <w:t xml:space="preserve">2nd floor, </w:t>
      </w:r>
      <w:r w:rsidR="000A25E9" w:rsidRPr="000A25E9">
        <w:rPr>
          <w:bCs/>
          <w:lang w:val="en-US"/>
        </w:rPr>
        <w:t>room 23</w:t>
      </w:r>
      <w:r w:rsidR="002D2813">
        <w:rPr>
          <w:rFonts w:eastAsia="Times New Roman"/>
          <w:bCs/>
          <w:iCs/>
          <w:kern w:val="0"/>
          <w:lang w:val="en-US"/>
          <w14:ligatures w14:val="none"/>
        </w:rPr>
        <w:t>, Dushanbe city</w:t>
      </w:r>
    </w:p>
    <w:p w14:paraId="33B9383D" w14:textId="77777777" w:rsidR="00FB042E" w:rsidRPr="00564337" w:rsidRDefault="00FB042E" w:rsidP="0091308B">
      <w:pPr>
        <w:tabs>
          <w:tab w:val="left" w:pos="3402"/>
        </w:tabs>
        <w:spacing w:after="0" w:line="240" w:lineRule="auto"/>
        <w:ind w:left="426" w:right="141" w:hanging="426"/>
        <w:jc w:val="center"/>
        <w:rPr>
          <w:rFonts w:eastAsia="Times New Roman"/>
          <w:bCs/>
          <w:iCs/>
          <w:kern w:val="0"/>
          <w:lang w:val="en-US"/>
          <w14:ligatures w14:val="none"/>
        </w:rPr>
      </w:pPr>
      <w:r w:rsidRPr="00FB042E">
        <w:rPr>
          <w:rFonts w:eastAsia="Times New Roman"/>
          <w:bCs/>
          <w:iCs/>
          <w:kern w:val="0"/>
          <w:lang w:val="en-US"/>
          <w14:ligatures w14:val="none"/>
        </w:rPr>
        <w:t>Post Code: 734025</w:t>
      </w:r>
    </w:p>
    <w:p w14:paraId="0C918DD4" w14:textId="2F503976" w:rsidR="007A70BA" w:rsidRPr="00564337" w:rsidRDefault="00FB042E" w:rsidP="0091308B">
      <w:pPr>
        <w:tabs>
          <w:tab w:val="left" w:pos="3402"/>
        </w:tabs>
        <w:spacing w:after="0" w:line="240" w:lineRule="auto"/>
        <w:ind w:left="426" w:right="141" w:hanging="426"/>
        <w:jc w:val="center"/>
        <w:rPr>
          <w:lang w:val="en-US"/>
        </w:rPr>
      </w:pPr>
      <w:r w:rsidRPr="00564337">
        <w:rPr>
          <w:rFonts w:eastAsia="Times New Roman"/>
          <w:bCs/>
          <w:iCs/>
          <w:kern w:val="0"/>
          <w:lang w:val="en-US"/>
          <w14:ligatures w14:val="none"/>
        </w:rPr>
        <w:t>Country: Republic of Tajikistan</w:t>
      </w:r>
    </w:p>
    <w:sectPr w:rsidR="007A70BA" w:rsidRPr="005643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9C2C" w14:textId="77777777" w:rsidR="00AE1358" w:rsidRDefault="00AE1358" w:rsidP="000609A2">
      <w:pPr>
        <w:spacing w:after="0" w:line="240" w:lineRule="auto"/>
      </w:pPr>
      <w:r>
        <w:separator/>
      </w:r>
    </w:p>
  </w:endnote>
  <w:endnote w:type="continuationSeparator" w:id="0">
    <w:p w14:paraId="564DA25C" w14:textId="77777777" w:rsidR="00AE1358" w:rsidRDefault="00AE1358" w:rsidP="0006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10E4" w14:textId="77777777" w:rsidR="00AE1358" w:rsidRDefault="00AE1358" w:rsidP="000609A2">
      <w:pPr>
        <w:spacing w:after="0" w:line="240" w:lineRule="auto"/>
      </w:pPr>
      <w:r>
        <w:separator/>
      </w:r>
    </w:p>
  </w:footnote>
  <w:footnote w:type="continuationSeparator" w:id="0">
    <w:p w14:paraId="3EE0CACD" w14:textId="77777777" w:rsidR="00AE1358" w:rsidRDefault="00AE1358" w:rsidP="00060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1090B"/>
    <w:multiLevelType w:val="hybridMultilevel"/>
    <w:tmpl w:val="E87EB9A8"/>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AAB44F6C">
      <w:numFmt w:val="bullet"/>
      <w:lvlText w:val="-"/>
      <w:lvlJc w:val="left"/>
      <w:pPr>
        <w:ind w:left="3240" w:hanging="360"/>
      </w:pPr>
      <w:rPr>
        <w:rFonts w:ascii="Times New Roman" w:eastAsia="Times New Roman" w:hAnsi="Times New Roman" w:cs="Times New Roman" w:hint="default"/>
        <w:b/>
      </w:rPr>
    </w:lvl>
    <w:lvl w:ilvl="4" w:tplc="0902F2DE">
      <w:start w:val="1"/>
      <w:numFmt w:val="upperRoman"/>
      <w:lvlText w:val="%5."/>
      <w:lvlJc w:val="left"/>
      <w:pPr>
        <w:ind w:left="4320" w:hanging="720"/>
      </w:pPr>
      <w:rPr>
        <w:rFonts w:hint="default"/>
      </w:r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num w:numId="1" w16cid:durableId="1873954930">
    <w:abstractNumId w:val="0"/>
  </w:num>
  <w:num w:numId="2" w16cid:durableId="140517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BF"/>
    <w:rsid w:val="000609A2"/>
    <w:rsid w:val="000A25E9"/>
    <w:rsid w:val="000C6E44"/>
    <w:rsid w:val="000F1228"/>
    <w:rsid w:val="00100F25"/>
    <w:rsid w:val="0012233D"/>
    <w:rsid w:val="00146F31"/>
    <w:rsid w:val="00177B74"/>
    <w:rsid w:val="002479A0"/>
    <w:rsid w:val="00291D56"/>
    <w:rsid w:val="002A035B"/>
    <w:rsid w:val="002D2813"/>
    <w:rsid w:val="00322F5D"/>
    <w:rsid w:val="00332FAA"/>
    <w:rsid w:val="00347851"/>
    <w:rsid w:val="003B12EF"/>
    <w:rsid w:val="0041192F"/>
    <w:rsid w:val="00452E2E"/>
    <w:rsid w:val="0045359A"/>
    <w:rsid w:val="004C39D7"/>
    <w:rsid w:val="004D7518"/>
    <w:rsid w:val="0054279B"/>
    <w:rsid w:val="00564337"/>
    <w:rsid w:val="00655EE5"/>
    <w:rsid w:val="0069006E"/>
    <w:rsid w:val="006C27E0"/>
    <w:rsid w:val="00774C3A"/>
    <w:rsid w:val="00775EFB"/>
    <w:rsid w:val="0079222C"/>
    <w:rsid w:val="007A70BA"/>
    <w:rsid w:val="007E588C"/>
    <w:rsid w:val="007F2F1A"/>
    <w:rsid w:val="008F45BC"/>
    <w:rsid w:val="0091308B"/>
    <w:rsid w:val="009621C3"/>
    <w:rsid w:val="00984724"/>
    <w:rsid w:val="00A728B6"/>
    <w:rsid w:val="00A945A2"/>
    <w:rsid w:val="00AA6CCF"/>
    <w:rsid w:val="00AE1358"/>
    <w:rsid w:val="00B32A81"/>
    <w:rsid w:val="00B70A6D"/>
    <w:rsid w:val="00C227F0"/>
    <w:rsid w:val="00C744B0"/>
    <w:rsid w:val="00C75334"/>
    <w:rsid w:val="00CD574B"/>
    <w:rsid w:val="00D144EA"/>
    <w:rsid w:val="00D46CC8"/>
    <w:rsid w:val="00D825D5"/>
    <w:rsid w:val="00DE7F5B"/>
    <w:rsid w:val="00EA3CF1"/>
    <w:rsid w:val="00F315B5"/>
    <w:rsid w:val="00FA1DBF"/>
    <w:rsid w:val="00FB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C786"/>
  <w15:chartTrackingRefBased/>
  <w15:docId w15:val="{5697C25A-A304-4108-B1C5-53A13CD0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1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1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1D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1D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1D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1D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1D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1D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1D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D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1D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1D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1D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1D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1D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1DBF"/>
    <w:rPr>
      <w:rFonts w:eastAsiaTheme="majorEastAsia" w:cstheme="majorBidi"/>
      <w:color w:val="595959" w:themeColor="text1" w:themeTint="A6"/>
    </w:rPr>
  </w:style>
  <w:style w:type="character" w:customStyle="1" w:styleId="80">
    <w:name w:val="Заголовок 8 Знак"/>
    <w:basedOn w:val="a0"/>
    <w:link w:val="8"/>
    <w:uiPriority w:val="9"/>
    <w:semiHidden/>
    <w:rsid w:val="00FA1D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1DBF"/>
    <w:rPr>
      <w:rFonts w:eastAsiaTheme="majorEastAsia" w:cstheme="majorBidi"/>
      <w:color w:val="272727" w:themeColor="text1" w:themeTint="D8"/>
    </w:rPr>
  </w:style>
  <w:style w:type="paragraph" w:styleId="a3">
    <w:name w:val="Title"/>
    <w:basedOn w:val="a"/>
    <w:next w:val="a"/>
    <w:link w:val="a4"/>
    <w:uiPriority w:val="10"/>
    <w:qFormat/>
    <w:rsid w:val="00FA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1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D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1D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1DBF"/>
    <w:pPr>
      <w:spacing w:before="160"/>
      <w:jc w:val="center"/>
    </w:pPr>
    <w:rPr>
      <w:i/>
      <w:iCs/>
      <w:color w:val="404040" w:themeColor="text1" w:themeTint="BF"/>
    </w:rPr>
  </w:style>
  <w:style w:type="character" w:customStyle="1" w:styleId="22">
    <w:name w:val="Цитата 2 Знак"/>
    <w:basedOn w:val="a0"/>
    <w:link w:val="21"/>
    <w:uiPriority w:val="29"/>
    <w:rsid w:val="00FA1DBF"/>
    <w:rPr>
      <w:i/>
      <w:iCs/>
      <w:color w:val="404040" w:themeColor="text1" w:themeTint="BF"/>
    </w:rPr>
  </w:style>
  <w:style w:type="paragraph" w:styleId="a7">
    <w:name w:val="List Paragraph"/>
    <w:basedOn w:val="a"/>
    <w:uiPriority w:val="34"/>
    <w:qFormat/>
    <w:rsid w:val="00FA1DBF"/>
    <w:pPr>
      <w:ind w:left="720"/>
      <w:contextualSpacing/>
    </w:pPr>
  </w:style>
  <w:style w:type="character" w:styleId="a8">
    <w:name w:val="Intense Emphasis"/>
    <w:basedOn w:val="a0"/>
    <w:uiPriority w:val="21"/>
    <w:qFormat/>
    <w:rsid w:val="00FA1DBF"/>
    <w:rPr>
      <w:i/>
      <w:iCs/>
      <w:color w:val="2F5496" w:themeColor="accent1" w:themeShade="BF"/>
    </w:rPr>
  </w:style>
  <w:style w:type="paragraph" w:styleId="a9">
    <w:name w:val="Intense Quote"/>
    <w:basedOn w:val="a"/>
    <w:next w:val="a"/>
    <w:link w:val="aa"/>
    <w:uiPriority w:val="30"/>
    <w:qFormat/>
    <w:rsid w:val="00FA1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1DBF"/>
    <w:rPr>
      <w:i/>
      <w:iCs/>
      <w:color w:val="2F5496" w:themeColor="accent1" w:themeShade="BF"/>
    </w:rPr>
  </w:style>
  <w:style w:type="character" w:styleId="ab">
    <w:name w:val="Intense Reference"/>
    <w:basedOn w:val="a0"/>
    <w:uiPriority w:val="32"/>
    <w:qFormat/>
    <w:rsid w:val="00FA1DBF"/>
    <w:rPr>
      <w:b/>
      <w:bCs/>
      <w:smallCaps/>
      <w:color w:val="2F5496" w:themeColor="accent1" w:themeShade="BF"/>
      <w:spacing w:val="5"/>
    </w:rPr>
  </w:style>
  <w:style w:type="paragraph" w:styleId="ac">
    <w:name w:val="footnote text"/>
    <w:basedOn w:val="a"/>
    <w:link w:val="ad"/>
    <w:uiPriority w:val="99"/>
    <w:semiHidden/>
    <w:unhideWhenUsed/>
    <w:rsid w:val="000609A2"/>
    <w:pPr>
      <w:spacing w:after="0" w:line="240" w:lineRule="auto"/>
    </w:pPr>
    <w:rPr>
      <w:sz w:val="20"/>
      <w:szCs w:val="20"/>
    </w:rPr>
  </w:style>
  <w:style w:type="character" w:customStyle="1" w:styleId="ad">
    <w:name w:val="Текст сноски Знак"/>
    <w:basedOn w:val="a0"/>
    <w:link w:val="ac"/>
    <w:uiPriority w:val="99"/>
    <w:semiHidden/>
    <w:rsid w:val="000609A2"/>
    <w:rPr>
      <w:sz w:val="20"/>
      <w:szCs w:val="20"/>
    </w:rPr>
  </w:style>
  <w:style w:type="paragraph" w:styleId="ae">
    <w:name w:val="endnote text"/>
    <w:basedOn w:val="a"/>
    <w:link w:val="af"/>
    <w:uiPriority w:val="99"/>
    <w:semiHidden/>
    <w:unhideWhenUsed/>
    <w:rsid w:val="000609A2"/>
    <w:pPr>
      <w:spacing w:after="0" w:line="240" w:lineRule="auto"/>
    </w:pPr>
    <w:rPr>
      <w:sz w:val="20"/>
      <w:szCs w:val="20"/>
    </w:rPr>
  </w:style>
  <w:style w:type="character" w:customStyle="1" w:styleId="af">
    <w:name w:val="Текст концевой сноски Знак"/>
    <w:basedOn w:val="a0"/>
    <w:link w:val="ae"/>
    <w:uiPriority w:val="99"/>
    <w:semiHidden/>
    <w:rsid w:val="000609A2"/>
    <w:rPr>
      <w:sz w:val="20"/>
      <w:szCs w:val="20"/>
    </w:rPr>
  </w:style>
  <w:style w:type="character" w:styleId="af0">
    <w:name w:val="footnote reference"/>
    <w:basedOn w:val="a0"/>
    <w:uiPriority w:val="99"/>
    <w:rsid w:val="000609A2"/>
    <w:rPr>
      <w:vertAlign w:val="superscript"/>
    </w:rPr>
  </w:style>
  <w:style w:type="paragraph" w:styleId="af1">
    <w:name w:val="Body Text"/>
    <w:basedOn w:val="a"/>
    <w:link w:val="af2"/>
    <w:uiPriority w:val="99"/>
    <w:semiHidden/>
    <w:unhideWhenUsed/>
    <w:rsid w:val="002479A0"/>
    <w:pPr>
      <w:spacing w:after="120"/>
    </w:pPr>
  </w:style>
  <w:style w:type="character" w:customStyle="1" w:styleId="af2">
    <w:name w:val="Основной текст Знак"/>
    <w:basedOn w:val="a0"/>
    <w:link w:val="af1"/>
    <w:uiPriority w:val="99"/>
    <w:semiHidden/>
    <w:rsid w:val="002479A0"/>
  </w:style>
  <w:style w:type="table" w:styleId="af3">
    <w:name w:val="Table Grid"/>
    <w:basedOn w:val="a1"/>
    <w:uiPriority w:val="39"/>
    <w:rsid w:val="002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nasim@piumof.t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2025-01-24T09:52:00Z</dcterms:created>
  <dcterms:modified xsi:type="dcterms:W3CDTF">2026-03-17T07:59:00Z</dcterms:modified>
</cp:coreProperties>
</file>