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F4B6" w14:textId="77777777" w:rsidR="002168E7" w:rsidRPr="00756438" w:rsidRDefault="002168E7" w:rsidP="00AE3D6E">
      <w:pPr>
        <w:spacing w:before="240"/>
        <w:jc w:val="center"/>
        <w:rPr>
          <w:b/>
          <w:sz w:val="44"/>
          <w:szCs w:val="44"/>
        </w:rPr>
      </w:pPr>
      <w:r w:rsidRPr="00756438">
        <w:rPr>
          <w:b/>
          <w:sz w:val="44"/>
          <w:szCs w:val="44"/>
        </w:rPr>
        <w:t>INVITATION FOR TENDERS</w:t>
      </w:r>
    </w:p>
    <w:p w14:paraId="60A295B9" w14:textId="77777777" w:rsidR="002168E7" w:rsidRPr="00756438" w:rsidRDefault="002168E7" w:rsidP="00AE3D6E">
      <w:pPr>
        <w:spacing w:before="120" w:after="120"/>
        <w:jc w:val="center"/>
        <w:rPr>
          <w:b/>
          <w:sz w:val="28"/>
          <w:szCs w:val="28"/>
        </w:rPr>
      </w:pPr>
      <w:r w:rsidRPr="00756438">
        <w:rPr>
          <w:b/>
          <w:sz w:val="28"/>
          <w:szCs w:val="28"/>
        </w:rPr>
        <w:t xml:space="preserve">(International Competitive bidding) </w:t>
      </w:r>
    </w:p>
    <w:p w14:paraId="5856CF79" w14:textId="77777777" w:rsidR="002168E7" w:rsidRPr="00756438" w:rsidRDefault="002168E7" w:rsidP="002168E7">
      <w:pPr>
        <w:spacing w:before="240" w:after="240"/>
        <w:jc w:val="center"/>
        <w:rPr>
          <w:b/>
          <w:sz w:val="28"/>
          <w:szCs w:val="28"/>
        </w:rPr>
      </w:pPr>
      <w:r w:rsidRPr="00756438">
        <w:rPr>
          <w:b/>
          <w:sz w:val="28"/>
          <w:szCs w:val="28"/>
        </w:rPr>
        <w:t>PROCUREMENT OF FURNITURE AND EQUIPMENT</w:t>
      </w:r>
    </w:p>
    <w:p w14:paraId="156229B4" w14:textId="77777777" w:rsidR="002168E7" w:rsidRPr="00AE3D6E" w:rsidRDefault="002168E7" w:rsidP="002168E7">
      <w:pPr>
        <w:autoSpaceDE w:val="0"/>
        <w:autoSpaceDN w:val="0"/>
        <w:adjustRightInd w:val="0"/>
        <w:rPr>
          <w:sz w:val="4"/>
          <w:szCs w:val="4"/>
        </w:rPr>
      </w:pPr>
    </w:p>
    <w:p w14:paraId="71E6A293" w14:textId="42B1E58E" w:rsidR="002168E7" w:rsidRPr="00935540" w:rsidRDefault="002168E7" w:rsidP="00AE3D6E">
      <w:pPr>
        <w:autoSpaceDE w:val="0"/>
        <w:autoSpaceDN w:val="0"/>
        <w:adjustRightInd w:val="0"/>
        <w:ind w:right="-705"/>
        <w:rPr>
          <w:sz w:val="22"/>
          <w:szCs w:val="22"/>
        </w:rPr>
      </w:pPr>
      <w:r w:rsidRPr="00935540">
        <w:rPr>
          <w:sz w:val="22"/>
          <w:szCs w:val="22"/>
        </w:rPr>
        <w:t>The State Enterprise “Project Implementation Unit” (“PIU”) (the Purchaser) hereinafter referred as the Purchaser, intends to use part of the proceeds a Loan from the Saudi Fund for Development (the Fund) towards the cost of Construction and of Equipping of Number of Schools Project (SFD Loan No.807/12)</w:t>
      </w:r>
      <w:r w:rsidR="00935540">
        <w:rPr>
          <w:sz w:val="22"/>
          <w:szCs w:val="22"/>
        </w:rPr>
        <w:t>.</w:t>
      </w:r>
      <w:r w:rsidRPr="00935540">
        <w:rPr>
          <w:sz w:val="22"/>
          <w:szCs w:val="22"/>
        </w:rPr>
        <w:t xml:space="preserve"> </w:t>
      </w:r>
    </w:p>
    <w:p w14:paraId="37F7C67B" w14:textId="77777777" w:rsidR="002168E7" w:rsidRPr="00935540" w:rsidRDefault="002168E7" w:rsidP="00AE3D6E">
      <w:pPr>
        <w:autoSpaceDE w:val="0"/>
        <w:autoSpaceDN w:val="0"/>
        <w:adjustRightInd w:val="0"/>
        <w:ind w:right="-705"/>
        <w:rPr>
          <w:sz w:val="22"/>
          <w:szCs w:val="22"/>
        </w:rPr>
      </w:pPr>
    </w:p>
    <w:p w14:paraId="56CFC033" w14:textId="756A555A" w:rsidR="0096561B" w:rsidRPr="00935540" w:rsidRDefault="002168E7" w:rsidP="00AE3D6E">
      <w:pPr>
        <w:autoSpaceDE w:val="0"/>
        <w:autoSpaceDN w:val="0"/>
        <w:adjustRightInd w:val="0"/>
        <w:ind w:right="-705"/>
        <w:rPr>
          <w:sz w:val="22"/>
          <w:szCs w:val="22"/>
        </w:rPr>
      </w:pPr>
      <w:r w:rsidRPr="00935540">
        <w:rPr>
          <w:sz w:val="22"/>
          <w:szCs w:val="22"/>
        </w:rPr>
        <w:t>The Purchaser now invites sealed tenders from suppliers for the following contracts to be funded from part of the proceeds of the Loan</w:t>
      </w:r>
      <w:r w:rsidR="00782A99" w:rsidRPr="00935540">
        <w:rPr>
          <w:sz w:val="22"/>
          <w:szCs w:val="22"/>
        </w:rPr>
        <w:t xml:space="preserve"> </w:t>
      </w:r>
      <w:r w:rsidR="0096561B" w:rsidRPr="00935540">
        <w:rPr>
          <w:sz w:val="22"/>
          <w:szCs w:val="22"/>
        </w:rPr>
        <w:t xml:space="preserve">and </w:t>
      </w:r>
      <w:r w:rsidR="00782A99" w:rsidRPr="00935540">
        <w:rPr>
          <w:sz w:val="22"/>
          <w:szCs w:val="22"/>
        </w:rPr>
        <w:t>t</w:t>
      </w:r>
      <w:r w:rsidR="0096561B" w:rsidRPr="00935540">
        <w:rPr>
          <w:sz w:val="22"/>
          <w:szCs w:val="22"/>
        </w:rPr>
        <w:t>o be qualified for the award of a contract, tenderers must satisfy the following minimum criteria:</w:t>
      </w:r>
    </w:p>
    <w:p w14:paraId="7B0D4721" w14:textId="77777777" w:rsidR="0096561B" w:rsidRPr="00935540" w:rsidRDefault="0096561B" w:rsidP="0096561B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ad"/>
        <w:tblW w:w="10060" w:type="dxa"/>
        <w:tblLook w:val="04A0" w:firstRow="1" w:lastRow="0" w:firstColumn="1" w:lastColumn="0" w:noHBand="0" w:noVBand="1"/>
      </w:tblPr>
      <w:tblGrid>
        <w:gridCol w:w="1665"/>
        <w:gridCol w:w="3500"/>
        <w:gridCol w:w="1206"/>
        <w:gridCol w:w="1357"/>
        <w:gridCol w:w="1206"/>
        <w:gridCol w:w="1126"/>
      </w:tblGrid>
      <w:tr w:rsidR="00782A99" w:rsidRPr="00935540" w14:paraId="53580661" w14:textId="4CC7921B" w:rsidTr="00460817">
        <w:tc>
          <w:tcPr>
            <w:tcW w:w="1682" w:type="dxa"/>
          </w:tcPr>
          <w:p w14:paraId="540ED4FE" w14:textId="219784C0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>Contract No.</w:t>
            </w:r>
          </w:p>
        </w:tc>
        <w:tc>
          <w:tcPr>
            <w:tcW w:w="3558" w:type="dxa"/>
          </w:tcPr>
          <w:p w14:paraId="580DF5D4" w14:textId="500D3DA5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>Lot No</w:t>
            </w:r>
            <w:r w:rsidR="00935540" w:rsidRPr="00935540">
              <w:rPr>
                <w:sz w:val="22"/>
                <w:szCs w:val="22"/>
              </w:rPr>
              <w:t>.</w:t>
            </w:r>
          </w:p>
        </w:tc>
        <w:tc>
          <w:tcPr>
            <w:tcW w:w="1122" w:type="dxa"/>
          </w:tcPr>
          <w:p w14:paraId="2A9CB2E3" w14:textId="7E824985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>Average annual turnover, US$</w:t>
            </w:r>
          </w:p>
        </w:tc>
        <w:tc>
          <w:tcPr>
            <w:tcW w:w="1362" w:type="dxa"/>
          </w:tcPr>
          <w:p w14:paraId="58878561" w14:textId="1CB8813D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>Experience as Supplier</w:t>
            </w:r>
            <w:r w:rsidR="00782A99" w:rsidRPr="00935540">
              <w:rPr>
                <w:sz w:val="22"/>
                <w:szCs w:val="22"/>
              </w:rPr>
              <w:t>, US$</w:t>
            </w:r>
          </w:p>
        </w:tc>
        <w:tc>
          <w:tcPr>
            <w:tcW w:w="1206" w:type="dxa"/>
          </w:tcPr>
          <w:p w14:paraId="6214CF0D" w14:textId="237138A9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>Financial resources</w:t>
            </w:r>
            <w:r w:rsidR="00935540" w:rsidRPr="00935540">
              <w:rPr>
                <w:sz w:val="22"/>
                <w:szCs w:val="22"/>
              </w:rPr>
              <w:t>,</w:t>
            </w:r>
            <w:r w:rsidR="001C04D3">
              <w:rPr>
                <w:sz w:val="22"/>
                <w:szCs w:val="22"/>
              </w:rPr>
              <w:t xml:space="preserve"> </w:t>
            </w:r>
            <w:r w:rsidR="00935540" w:rsidRPr="00935540">
              <w:rPr>
                <w:sz w:val="22"/>
                <w:szCs w:val="22"/>
              </w:rPr>
              <w:t>US$</w:t>
            </w:r>
            <w:r w:rsidRPr="0093554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0" w:type="dxa"/>
          </w:tcPr>
          <w:p w14:paraId="1F3CF7D1" w14:textId="2965C800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 xml:space="preserve">Tender </w:t>
            </w:r>
            <w:r w:rsidR="00935540" w:rsidRPr="00935540">
              <w:rPr>
                <w:sz w:val="22"/>
                <w:szCs w:val="22"/>
              </w:rPr>
              <w:t>S</w:t>
            </w:r>
            <w:r w:rsidRPr="00935540">
              <w:rPr>
                <w:sz w:val="22"/>
                <w:szCs w:val="22"/>
              </w:rPr>
              <w:t>ecurity, US $</w:t>
            </w:r>
          </w:p>
        </w:tc>
      </w:tr>
      <w:tr w:rsidR="00935540" w:rsidRPr="00935540" w14:paraId="0386B542" w14:textId="00FBD6E2" w:rsidTr="00460817">
        <w:trPr>
          <w:trHeight w:val="420"/>
        </w:trPr>
        <w:tc>
          <w:tcPr>
            <w:tcW w:w="1682" w:type="dxa"/>
            <w:vMerge w:val="restart"/>
          </w:tcPr>
          <w:p w14:paraId="72F99D37" w14:textId="063EFCAE" w:rsidR="002168E7" w:rsidRPr="00935540" w:rsidRDefault="002168E7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</w:rPr>
              <w:t>Contract No. CESP-GDS-01: Supply of Furniture and Equipment</w:t>
            </w:r>
          </w:p>
        </w:tc>
        <w:tc>
          <w:tcPr>
            <w:tcW w:w="3558" w:type="dxa"/>
          </w:tcPr>
          <w:p w14:paraId="6D1128FC" w14:textId="4B398789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>Lot No.1: Construction of Secondary School No.42</w:t>
            </w:r>
            <w:r w:rsidR="00935540" w:rsidRPr="00935540">
              <w:rPr>
                <w:sz w:val="22"/>
                <w:szCs w:val="22"/>
              </w:rPr>
              <w:t xml:space="preserve"> </w:t>
            </w:r>
            <w:r w:rsidRPr="00935540">
              <w:rPr>
                <w:sz w:val="22"/>
                <w:szCs w:val="22"/>
              </w:rPr>
              <w:t xml:space="preserve">(Second Part- Sport Hall, Assembly-Hall and Dining- Room), Village </w:t>
            </w:r>
            <w:proofErr w:type="spellStart"/>
            <w:r w:rsidRPr="00935540">
              <w:rPr>
                <w:sz w:val="22"/>
                <w:szCs w:val="22"/>
              </w:rPr>
              <w:t>Navobod</w:t>
            </w:r>
            <w:proofErr w:type="spellEnd"/>
            <w:r w:rsidRPr="00935540">
              <w:rPr>
                <w:sz w:val="22"/>
                <w:szCs w:val="22"/>
              </w:rPr>
              <w:t xml:space="preserve"> of Mir Said Ali</w:t>
            </w:r>
            <w:r w:rsidR="00AE3D6E" w:rsidRPr="00935540">
              <w:rPr>
                <w:sz w:val="22"/>
                <w:szCs w:val="22"/>
              </w:rPr>
              <w:t>i</w:t>
            </w:r>
            <w:r w:rsidRPr="00935540">
              <w:rPr>
                <w:sz w:val="22"/>
                <w:szCs w:val="22"/>
              </w:rPr>
              <w:t xml:space="preserve"> </w:t>
            </w:r>
            <w:proofErr w:type="spellStart"/>
            <w:r w:rsidRPr="00935540">
              <w:rPr>
                <w:sz w:val="22"/>
                <w:szCs w:val="22"/>
              </w:rPr>
              <w:t>Hamadoni</w:t>
            </w:r>
            <w:proofErr w:type="spellEnd"/>
            <w:r w:rsidRPr="00935540">
              <w:rPr>
                <w:sz w:val="22"/>
                <w:szCs w:val="22"/>
              </w:rPr>
              <w:t xml:space="preserve"> District</w:t>
            </w:r>
          </w:p>
        </w:tc>
        <w:tc>
          <w:tcPr>
            <w:tcW w:w="1122" w:type="dxa"/>
            <w:vMerge w:val="restart"/>
          </w:tcPr>
          <w:p w14:paraId="465E3BDD" w14:textId="1E276B01" w:rsidR="002168E7" w:rsidRPr="00935540" w:rsidRDefault="0096561B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675,000</w:t>
            </w:r>
            <w:r w:rsidRPr="00935540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1362" w:type="dxa"/>
            <w:vMerge w:val="restart"/>
          </w:tcPr>
          <w:p w14:paraId="282B71EA" w14:textId="4B30410A" w:rsidR="002168E7" w:rsidRPr="00935540" w:rsidRDefault="0096561B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180,000</w:t>
            </w:r>
            <w:r w:rsidRPr="00935540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1206" w:type="dxa"/>
            <w:vMerge w:val="restart"/>
          </w:tcPr>
          <w:p w14:paraId="25BDF5AD" w14:textId="2FA69570" w:rsidR="002168E7" w:rsidRPr="00935540" w:rsidRDefault="0096561B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</w:rPr>
              <w:t>112,000.00</w:t>
            </w:r>
          </w:p>
        </w:tc>
        <w:tc>
          <w:tcPr>
            <w:tcW w:w="1130" w:type="dxa"/>
            <w:vMerge w:val="restart"/>
          </w:tcPr>
          <w:p w14:paraId="586F5A4A" w14:textId="562650A3" w:rsidR="002168E7" w:rsidRPr="00935540" w:rsidRDefault="0096561B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4,500.00</w:t>
            </w:r>
          </w:p>
        </w:tc>
      </w:tr>
      <w:tr w:rsidR="00935540" w:rsidRPr="00935540" w14:paraId="2B796FA7" w14:textId="77777777" w:rsidTr="00460817">
        <w:trPr>
          <w:trHeight w:val="420"/>
        </w:trPr>
        <w:tc>
          <w:tcPr>
            <w:tcW w:w="1682" w:type="dxa"/>
            <w:vMerge/>
          </w:tcPr>
          <w:p w14:paraId="6F7EE397" w14:textId="77777777" w:rsidR="002168E7" w:rsidRPr="00935540" w:rsidRDefault="002168E7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558" w:type="dxa"/>
          </w:tcPr>
          <w:p w14:paraId="71EE0DCA" w14:textId="37A1EEA4" w:rsidR="002168E7" w:rsidRPr="00935540" w:rsidRDefault="002168E7" w:rsidP="002168E7">
            <w:pPr>
              <w:jc w:val="left"/>
              <w:rPr>
                <w:sz w:val="22"/>
                <w:szCs w:val="22"/>
                <w:lang w:val="en-US"/>
              </w:rPr>
            </w:pPr>
            <w:r w:rsidRPr="00935540">
              <w:rPr>
                <w:sz w:val="22"/>
                <w:szCs w:val="22"/>
              </w:rPr>
              <w:t>Lot No.2:</w:t>
            </w:r>
            <w:r w:rsidR="00782A99" w:rsidRPr="00935540">
              <w:rPr>
                <w:sz w:val="22"/>
                <w:szCs w:val="22"/>
              </w:rPr>
              <w:t xml:space="preserve"> </w:t>
            </w:r>
            <w:r w:rsidRPr="00935540">
              <w:rPr>
                <w:sz w:val="22"/>
                <w:szCs w:val="22"/>
              </w:rPr>
              <w:t xml:space="preserve">Construction </w:t>
            </w:r>
            <w:r w:rsidR="0096561B" w:rsidRPr="00935540">
              <w:rPr>
                <w:sz w:val="22"/>
                <w:szCs w:val="22"/>
              </w:rPr>
              <w:t>o</w:t>
            </w:r>
            <w:r w:rsidRPr="00935540">
              <w:rPr>
                <w:sz w:val="22"/>
                <w:szCs w:val="22"/>
              </w:rPr>
              <w:t>f Education</w:t>
            </w:r>
            <w:r w:rsidRPr="00935540">
              <w:rPr>
                <w:sz w:val="22"/>
                <w:szCs w:val="22"/>
                <w:lang w:val="en-US"/>
              </w:rPr>
              <w:t xml:space="preserve"> </w:t>
            </w:r>
            <w:r w:rsidRPr="00935540">
              <w:rPr>
                <w:sz w:val="22"/>
                <w:szCs w:val="22"/>
              </w:rPr>
              <w:t>Department of Panj District</w:t>
            </w:r>
          </w:p>
        </w:tc>
        <w:tc>
          <w:tcPr>
            <w:tcW w:w="1122" w:type="dxa"/>
            <w:vMerge/>
          </w:tcPr>
          <w:p w14:paraId="5493FAFD" w14:textId="77777777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4C109872" w14:textId="77777777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</w:tcPr>
          <w:p w14:paraId="33B533C4" w14:textId="77777777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498FC4B0" w14:textId="77777777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35540" w:rsidRPr="00935540" w14:paraId="0810298D" w14:textId="77777777" w:rsidTr="00460817">
        <w:trPr>
          <w:trHeight w:val="420"/>
        </w:trPr>
        <w:tc>
          <w:tcPr>
            <w:tcW w:w="1682" w:type="dxa"/>
            <w:vMerge/>
          </w:tcPr>
          <w:p w14:paraId="6CBD19BB" w14:textId="77777777" w:rsidR="002168E7" w:rsidRPr="00935540" w:rsidRDefault="002168E7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558" w:type="dxa"/>
          </w:tcPr>
          <w:p w14:paraId="2D910063" w14:textId="5A868693" w:rsidR="002168E7" w:rsidRPr="00935540" w:rsidRDefault="0096561B" w:rsidP="00935540">
            <w:pPr>
              <w:jc w:val="left"/>
              <w:rPr>
                <w:sz w:val="22"/>
                <w:szCs w:val="22"/>
                <w:lang w:val="en-US"/>
              </w:rPr>
            </w:pPr>
            <w:r w:rsidRPr="00935540">
              <w:rPr>
                <w:sz w:val="22"/>
                <w:szCs w:val="22"/>
              </w:rPr>
              <w:t xml:space="preserve">Lot No.3: </w:t>
            </w:r>
            <w:r w:rsidR="002168E7" w:rsidRPr="00935540">
              <w:rPr>
                <w:sz w:val="22"/>
                <w:szCs w:val="22"/>
              </w:rPr>
              <w:t xml:space="preserve">Construction </w:t>
            </w:r>
            <w:r w:rsidR="00935540" w:rsidRPr="00935540">
              <w:rPr>
                <w:sz w:val="22"/>
                <w:szCs w:val="22"/>
              </w:rPr>
              <w:t>o</w:t>
            </w:r>
            <w:r w:rsidR="002168E7" w:rsidRPr="00935540">
              <w:rPr>
                <w:sz w:val="22"/>
                <w:szCs w:val="22"/>
              </w:rPr>
              <w:t>f Boarding School</w:t>
            </w:r>
            <w:r w:rsidR="002168E7" w:rsidRPr="00935540">
              <w:rPr>
                <w:sz w:val="22"/>
                <w:szCs w:val="22"/>
                <w:lang w:val="en-US"/>
              </w:rPr>
              <w:t xml:space="preserve"> </w:t>
            </w:r>
            <w:r w:rsidR="002168E7" w:rsidRPr="00935540">
              <w:rPr>
                <w:sz w:val="22"/>
                <w:szCs w:val="22"/>
              </w:rPr>
              <w:t xml:space="preserve">(Second Part, Sport Hall, Assembly Hall </w:t>
            </w:r>
            <w:r w:rsidRPr="00935540">
              <w:rPr>
                <w:sz w:val="22"/>
                <w:szCs w:val="22"/>
              </w:rPr>
              <w:t>a</w:t>
            </w:r>
            <w:r w:rsidR="002168E7" w:rsidRPr="00935540">
              <w:rPr>
                <w:sz w:val="22"/>
                <w:szCs w:val="22"/>
              </w:rPr>
              <w:t>nd Dining Room</w:t>
            </w:r>
            <w:proofErr w:type="gramStart"/>
            <w:r w:rsidR="002168E7" w:rsidRPr="00935540">
              <w:rPr>
                <w:sz w:val="22"/>
                <w:szCs w:val="22"/>
              </w:rPr>
              <w:t>),Village</w:t>
            </w:r>
            <w:proofErr w:type="gramEnd"/>
            <w:r w:rsidR="002168E7" w:rsidRPr="00935540">
              <w:rPr>
                <w:sz w:val="22"/>
                <w:szCs w:val="22"/>
              </w:rPr>
              <w:t xml:space="preserve"> </w:t>
            </w:r>
            <w:proofErr w:type="spellStart"/>
            <w:r w:rsidR="002168E7" w:rsidRPr="00935540">
              <w:rPr>
                <w:sz w:val="22"/>
                <w:szCs w:val="22"/>
              </w:rPr>
              <w:t>Jangali</w:t>
            </w:r>
            <w:proofErr w:type="spellEnd"/>
            <w:r w:rsidR="002168E7" w:rsidRPr="00935540">
              <w:rPr>
                <w:sz w:val="22"/>
                <w:szCs w:val="22"/>
              </w:rPr>
              <w:t xml:space="preserve"> </w:t>
            </w:r>
            <w:r w:rsidRPr="00935540">
              <w:rPr>
                <w:sz w:val="22"/>
                <w:szCs w:val="22"/>
              </w:rPr>
              <w:t>o</w:t>
            </w:r>
            <w:r w:rsidR="002168E7" w:rsidRPr="00935540">
              <w:rPr>
                <w:sz w:val="22"/>
                <w:szCs w:val="22"/>
              </w:rPr>
              <w:t xml:space="preserve">f </w:t>
            </w:r>
            <w:proofErr w:type="spellStart"/>
            <w:r w:rsidR="002168E7" w:rsidRPr="00935540">
              <w:rPr>
                <w:sz w:val="22"/>
                <w:szCs w:val="22"/>
              </w:rPr>
              <w:t>Qubodiyon</w:t>
            </w:r>
            <w:proofErr w:type="spellEnd"/>
            <w:r w:rsidR="002168E7" w:rsidRPr="00935540">
              <w:rPr>
                <w:sz w:val="22"/>
                <w:szCs w:val="22"/>
              </w:rPr>
              <w:t xml:space="preserve"> District</w:t>
            </w:r>
          </w:p>
        </w:tc>
        <w:tc>
          <w:tcPr>
            <w:tcW w:w="1122" w:type="dxa"/>
            <w:vMerge/>
          </w:tcPr>
          <w:p w14:paraId="2EC8ADB5" w14:textId="77777777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63BCC721" w14:textId="77777777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</w:tcPr>
          <w:p w14:paraId="5C3016AD" w14:textId="77777777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3BE2D4F2" w14:textId="77777777" w:rsidR="002168E7" w:rsidRPr="00935540" w:rsidRDefault="002168E7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6561B" w:rsidRPr="00935540" w14:paraId="3EBAE270" w14:textId="42E7BFF2" w:rsidTr="00460817">
        <w:trPr>
          <w:trHeight w:val="890"/>
        </w:trPr>
        <w:tc>
          <w:tcPr>
            <w:tcW w:w="1682" w:type="dxa"/>
            <w:vMerge w:val="restart"/>
          </w:tcPr>
          <w:p w14:paraId="72D65987" w14:textId="5C6B46C6" w:rsidR="0096561B" w:rsidRPr="00935540" w:rsidRDefault="0096561B" w:rsidP="0096561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935540">
              <w:rPr>
                <w:bCs/>
                <w:sz w:val="22"/>
                <w:szCs w:val="22"/>
              </w:rPr>
              <w:t>Contract No. C</w:t>
            </w:r>
            <w:r w:rsidR="00276CD2" w:rsidRPr="00935540">
              <w:rPr>
                <w:bCs/>
                <w:sz w:val="22"/>
                <w:szCs w:val="22"/>
              </w:rPr>
              <w:t>ESP</w:t>
            </w:r>
            <w:r w:rsidRPr="00935540">
              <w:rPr>
                <w:bCs/>
                <w:sz w:val="22"/>
                <w:szCs w:val="22"/>
              </w:rPr>
              <w:t>-G</w:t>
            </w:r>
            <w:r w:rsidR="00276CD2" w:rsidRPr="00935540">
              <w:rPr>
                <w:bCs/>
                <w:sz w:val="22"/>
                <w:szCs w:val="22"/>
              </w:rPr>
              <w:t>DS</w:t>
            </w:r>
            <w:r w:rsidRPr="00935540">
              <w:rPr>
                <w:bCs/>
                <w:sz w:val="22"/>
                <w:szCs w:val="22"/>
              </w:rPr>
              <w:t>-02: Supply of Furniture and Equipment</w:t>
            </w:r>
          </w:p>
          <w:p w14:paraId="61E45C6C" w14:textId="77777777" w:rsidR="0096561B" w:rsidRPr="00935540" w:rsidRDefault="0096561B" w:rsidP="002168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558" w:type="dxa"/>
          </w:tcPr>
          <w:p w14:paraId="10BA84F6" w14:textId="1B9FDA1F" w:rsidR="0096561B" w:rsidRPr="00935540" w:rsidRDefault="0096561B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 xml:space="preserve">Lot No.1: Construction </w:t>
            </w:r>
            <w:r w:rsidR="00782A99" w:rsidRPr="00935540">
              <w:rPr>
                <w:sz w:val="22"/>
                <w:szCs w:val="22"/>
              </w:rPr>
              <w:t>o</w:t>
            </w:r>
            <w:r w:rsidRPr="00935540">
              <w:rPr>
                <w:sz w:val="22"/>
                <w:szCs w:val="22"/>
              </w:rPr>
              <w:t>f Secondary School at Village</w:t>
            </w:r>
            <w:r w:rsidR="00935540" w:rsidRPr="00935540">
              <w:rPr>
                <w:sz w:val="22"/>
                <w:szCs w:val="22"/>
              </w:rPr>
              <w:t xml:space="preserve"> </w:t>
            </w:r>
            <w:proofErr w:type="spellStart"/>
            <w:r w:rsidRPr="00935540">
              <w:rPr>
                <w:sz w:val="22"/>
                <w:szCs w:val="22"/>
              </w:rPr>
              <w:t>Mekhtar</w:t>
            </w:r>
            <w:proofErr w:type="spellEnd"/>
            <w:r w:rsidRPr="00935540">
              <w:rPr>
                <w:sz w:val="22"/>
                <w:szCs w:val="22"/>
              </w:rPr>
              <w:t xml:space="preserve"> of </w:t>
            </w:r>
            <w:proofErr w:type="spellStart"/>
            <w:r w:rsidRPr="00935540">
              <w:rPr>
                <w:sz w:val="22"/>
                <w:szCs w:val="22"/>
              </w:rPr>
              <w:t>Dangara</w:t>
            </w:r>
            <w:proofErr w:type="spellEnd"/>
            <w:r w:rsidRPr="00935540">
              <w:rPr>
                <w:sz w:val="22"/>
                <w:szCs w:val="22"/>
              </w:rPr>
              <w:t xml:space="preserve"> District                                                                                            </w:t>
            </w:r>
          </w:p>
        </w:tc>
        <w:tc>
          <w:tcPr>
            <w:tcW w:w="1122" w:type="dxa"/>
            <w:vMerge w:val="restart"/>
          </w:tcPr>
          <w:p w14:paraId="5E8B9028" w14:textId="322639DE" w:rsidR="0096561B" w:rsidRPr="00935540" w:rsidRDefault="0096561B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816,000</w:t>
            </w:r>
            <w:r w:rsidRPr="00935540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1362" w:type="dxa"/>
            <w:vMerge w:val="restart"/>
          </w:tcPr>
          <w:p w14:paraId="2B26309D" w14:textId="29C1C14D" w:rsidR="0096561B" w:rsidRPr="00935540" w:rsidRDefault="0096561B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217,600</w:t>
            </w:r>
            <w:r w:rsidRPr="00935540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1206" w:type="dxa"/>
            <w:vMerge w:val="restart"/>
          </w:tcPr>
          <w:p w14:paraId="7323C7F4" w14:textId="26F9944B" w:rsidR="0096561B" w:rsidRPr="00935540" w:rsidRDefault="0096561B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</w:rPr>
              <w:t>136,000.00</w:t>
            </w:r>
          </w:p>
        </w:tc>
        <w:tc>
          <w:tcPr>
            <w:tcW w:w="1130" w:type="dxa"/>
            <w:vMerge w:val="restart"/>
          </w:tcPr>
          <w:p w14:paraId="4FBB7DE8" w14:textId="06BB8E89" w:rsidR="0096561B" w:rsidRPr="00935540" w:rsidRDefault="0096561B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5,440.00</w:t>
            </w:r>
          </w:p>
        </w:tc>
      </w:tr>
      <w:tr w:rsidR="0096561B" w:rsidRPr="00935540" w14:paraId="7F3290B4" w14:textId="77777777" w:rsidTr="00460817">
        <w:trPr>
          <w:trHeight w:val="872"/>
        </w:trPr>
        <w:tc>
          <w:tcPr>
            <w:tcW w:w="1682" w:type="dxa"/>
            <w:vMerge/>
          </w:tcPr>
          <w:p w14:paraId="035D7E05" w14:textId="77777777" w:rsidR="0096561B" w:rsidRPr="00935540" w:rsidRDefault="0096561B" w:rsidP="0096561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3558" w:type="dxa"/>
          </w:tcPr>
          <w:p w14:paraId="34B83446" w14:textId="536C67BD" w:rsidR="0096561B" w:rsidRPr="00935540" w:rsidRDefault="0096561B" w:rsidP="00935540">
            <w:pPr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 xml:space="preserve">Lot No.2: Construction of Secondary School at Village </w:t>
            </w:r>
            <w:proofErr w:type="spellStart"/>
            <w:r w:rsidRPr="00935540">
              <w:rPr>
                <w:sz w:val="22"/>
                <w:szCs w:val="22"/>
              </w:rPr>
              <w:t>Shohanshoh</w:t>
            </w:r>
            <w:proofErr w:type="spellEnd"/>
            <w:r w:rsidRPr="00935540">
              <w:rPr>
                <w:sz w:val="22"/>
                <w:szCs w:val="22"/>
              </w:rPr>
              <w:t xml:space="preserve"> </w:t>
            </w:r>
            <w:r w:rsidR="00276CD2" w:rsidRPr="00935540">
              <w:rPr>
                <w:sz w:val="22"/>
                <w:szCs w:val="22"/>
              </w:rPr>
              <w:t>i</w:t>
            </w:r>
            <w:r w:rsidRPr="00935540">
              <w:rPr>
                <w:sz w:val="22"/>
                <w:szCs w:val="22"/>
              </w:rPr>
              <w:t xml:space="preserve">n </w:t>
            </w:r>
            <w:proofErr w:type="spellStart"/>
            <w:r w:rsidRPr="00935540">
              <w:rPr>
                <w:sz w:val="22"/>
                <w:szCs w:val="22"/>
              </w:rPr>
              <w:t>Dangara</w:t>
            </w:r>
            <w:proofErr w:type="spellEnd"/>
            <w:r w:rsidRPr="00935540">
              <w:rPr>
                <w:sz w:val="22"/>
                <w:szCs w:val="22"/>
              </w:rPr>
              <w:t xml:space="preserve"> District</w:t>
            </w:r>
          </w:p>
        </w:tc>
        <w:tc>
          <w:tcPr>
            <w:tcW w:w="1122" w:type="dxa"/>
            <w:vMerge/>
          </w:tcPr>
          <w:p w14:paraId="19BA2C96" w14:textId="77777777" w:rsidR="0096561B" w:rsidRPr="00935540" w:rsidRDefault="0096561B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164D3117" w14:textId="77777777" w:rsidR="0096561B" w:rsidRPr="00935540" w:rsidRDefault="0096561B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</w:tcPr>
          <w:p w14:paraId="2A60F47B" w14:textId="77777777" w:rsidR="0096561B" w:rsidRPr="00935540" w:rsidRDefault="0096561B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48FE434" w14:textId="77777777" w:rsidR="0096561B" w:rsidRPr="00935540" w:rsidRDefault="0096561B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76CD2" w:rsidRPr="00935540" w14:paraId="0D7250EB" w14:textId="66DA02B3" w:rsidTr="00460817">
        <w:trPr>
          <w:trHeight w:val="535"/>
        </w:trPr>
        <w:tc>
          <w:tcPr>
            <w:tcW w:w="1682" w:type="dxa"/>
            <w:vMerge w:val="restart"/>
          </w:tcPr>
          <w:p w14:paraId="602F8FAC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09D668F" w14:textId="6C21CE7B" w:rsidR="00276CD2" w:rsidRPr="00935540" w:rsidRDefault="00276CD2" w:rsidP="00276CD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935540">
              <w:rPr>
                <w:bCs/>
                <w:sz w:val="22"/>
                <w:szCs w:val="22"/>
              </w:rPr>
              <w:t>Contract No. CESP-GDS-03: Supply of Furniture and Equipment</w:t>
            </w:r>
          </w:p>
          <w:p w14:paraId="0761221A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14:paraId="228DB3D6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58" w:type="dxa"/>
          </w:tcPr>
          <w:p w14:paraId="3138E7B8" w14:textId="6FAB1A9D" w:rsidR="00276CD2" w:rsidRPr="00935540" w:rsidRDefault="00782A99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 xml:space="preserve">Lot-01: Construction Of Secondary School No.60, </w:t>
            </w:r>
            <w:proofErr w:type="spellStart"/>
            <w:r w:rsidRPr="00935540">
              <w:rPr>
                <w:sz w:val="22"/>
                <w:szCs w:val="22"/>
              </w:rPr>
              <w:t>Jamoat</w:t>
            </w:r>
            <w:proofErr w:type="spellEnd"/>
            <w:r w:rsidRPr="00935540">
              <w:rPr>
                <w:sz w:val="22"/>
                <w:szCs w:val="22"/>
              </w:rPr>
              <w:t xml:space="preserve"> Gulistan, </w:t>
            </w:r>
            <w:proofErr w:type="spellStart"/>
            <w:r w:rsidRPr="00935540">
              <w:rPr>
                <w:sz w:val="22"/>
                <w:szCs w:val="22"/>
              </w:rPr>
              <w:t>Jaloliddin</w:t>
            </w:r>
            <w:proofErr w:type="spellEnd"/>
            <w:r w:rsidRPr="00935540">
              <w:rPr>
                <w:sz w:val="22"/>
                <w:szCs w:val="22"/>
              </w:rPr>
              <w:t xml:space="preserve"> Balkhi District  </w:t>
            </w:r>
          </w:p>
        </w:tc>
        <w:tc>
          <w:tcPr>
            <w:tcW w:w="1122" w:type="dxa"/>
            <w:vMerge w:val="restart"/>
          </w:tcPr>
          <w:p w14:paraId="6F1E428D" w14:textId="2A01EEB5" w:rsidR="00276CD2" w:rsidRPr="00935540" w:rsidRDefault="00276CD2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752,000</w:t>
            </w:r>
            <w:r w:rsidRPr="00935540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1362" w:type="dxa"/>
            <w:vMerge w:val="restart"/>
          </w:tcPr>
          <w:p w14:paraId="76EC0AB7" w14:textId="45946E8D" w:rsidR="00276CD2" w:rsidRPr="00935540" w:rsidRDefault="00276CD2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225,600</w:t>
            </w:r>
            <w:r w:rsidRPr="00935540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1206" w:type="dxa"/>
            <w:vMerge w:val="restart"/>
          </w:tcPr>
          <w:p w14:paraId="5863F31C" w14:textId="225E259D" w:rsidR="00276CD2" w:rsidRPr="00935540" w:rsidRDefault="00276CD2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</w:rPr>
              <w:t>125,000.00</w:t>
            </w:r>
          </w:p>
        </w:tc>
        <w:tc>
          <w:tcPr>
            <w:tcW w:w="1130" w:type="dxa"/>
            <w:vMerge w:val="restart"/>
          </w:tcPr>
          <w:p w14:paraId="54A66990" w14:textId="5BFCFF35" w:rsidR="00276CD2" w:rsidRPr="008A4CE5" w:rsidRDefault="00276CD2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7,520</w:t>
            </w:r>
            <w:r w:rsidR="008A4CE5">
              <w:rPr>
                <w:bCs/>
                <w:sz w:val="22"/>
                <w:szCs w:val="22"/>
                <w:lang w:val="ru-RU"/>
              </w:rPr>
              <w:t>.00</w:t>
            </w:r>
          </w:p>
        </w:tc>
      </w:tr>
      <w:tr w:rsidR="00276CD2" w:rsidRPr="00935540" w14:paraId="6321A78C" w14:textId="77777777" w:rsidTr="00460817">
        <w:trPr>
          <w:trHeight w:val="535"/>
        </w:trPr>
        <w:tc>
          <w:tcPr>
            <w:tcW w:w="1682" w:type="dxa"/>
            <w:vMerge/>
          </w:tcPr>
          <w:p w14:paraId="4C7AD481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558" w:type="dxa"/>
          </w:tcPr>
          <w:p w14:paraId="1F3725F8" w14:textId="502DF3D7" w:rsidR="00935540" w:rsidRPr="00935540" w:rsidRDefault="00782A99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>Lot No.2: Construction of Secondary School No.12,</w:t>
            </w:r>
            <w:r w:rsidR="00935540" w:rsidRPr="00935540">
              <w:rPr>
                <w:sz w:val="22"/>
                <w:szCs w:val="22"/>
              </w:rPr>
              <w:t xml:space="preserve"> </w:t>
            </w:r>
            <w:r w:rsidRPr="00935540">
              <w:rPr>
                <w:sz w:val="22"/>
                <w:szCs w:val="22"/>
              </w:rPr>
              <w:t xml:space="preserve">Village </w:t>
            </w:r>
            <w:proofErr w:type="spellStart"/>
            <w:r w:rsidRPr="00935540">
              <w:rPr>
                <w:sz w:val="22"/>
                <w:szCs w:val="22"/>
              </w:rPr>
              <w:t>Nematulloi</w:t>
            </w:r>
            <w:proofErr w:type="spellEnd"/>
            <w:r w:rsidRPr="00935540">
              <w:rPr>
                <w:sz w:val="22"/>
                <w:szCs w:val="22"/>
              </w:rPr>
              <w:t xml:space="preserve"> Asadullo </w:t>
            </w:r>
            <w:proofErr w:type="gramStart"/>
            <w:r w:rsidRPr="00935540">
              <w:rPr>
                <w:sz w:val="22"/>
                <w:szCs w:val="22"/>
              </w:rPr>
              <w:t xml:space="preserve">of  </w:t>
            </w:r>
            <w:proofErr w:type="spellStart"/>
            <w:r w:rsidRPr="00935540">
              <w:rPr>
                <w:sz w:val="22"/>
                <w:szCs w:val="22"/>
              </w:rPr>
              <w:t>Khuroson</w:t>
            </w:r>
            <w:proofErr w:type="spellEnd"/>
            <w:proofErr w:type="gramEnd"/>
            <w:r w:rsidRPr="00935540">
              <w:rPr>
                <w:sz w:val="22"/>
                <w:szCs w:val="22"/>
              </w:rPr>
              <w:t xml:space="preserve">  District</w:t>
            </w:r>
          </w:p>
        </w:tc>
        <w:tc>
          <w:tcPr>
            <w:tcW w:w="1122" w:type="dxa"/>
            <w:vMerge/>
          </w:tcPr>
          <w:p w14:paraId="21B84B0D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3623EECA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</w:tcPr>
          <w:p w14:paraId="1B8C96A6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7B7C1AEB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76CD2" w:rsidRPr="00935540" w14:paraId="11F748A0" w14:textId="77777777" w:rsidTr="00460817">
        <w:trPr>
          <w:trHeight w:val="550"/>
        </w:trPr>
        <w:tc>
          <w:tcPr>
            <w:tcW w:w="1682" w:type="dxa"/>
            <w:vMerge w:val="restart"/>
          </w:tcPr>
          <w:p w14:paraId="494D5F8E" w14:textId="63C26355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</w:rPr>
              <w:t>Contract No. CESP-GDS-04: Supply of Furniture and</w:t>
            </w:r>
            <w:r w:rsidR="00935540" w:rsidRPr="00935540">
              <w:rPr>
                <w:bCs/>
                <w:sz w:val="22"/>
                <w:szCs w:val="22"/>
              </w:rPr>
              <w:t xml:space="preserve"> Equipment</w:t>
            </w:r>
          </w:p>
        </w:tc>
        <w:tc>
          <w:tcPr>
            <w:tcW w:w="3558" w:type="dxa"/>
          </w:tcPr>
          <w:p w14:paraId="38579FDB" w14:textId="68677AC4" w:rsidR="00276CD2" w:rsidRPr="00935540" w:rsidRDefault="00782A99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 xml:space="preserve">Lot No.1: Construction of Secondary School (Second Part, Educational Building, Sport Hall, Assembly Hall </w:t>
            </w:r>
            <w:r w:rsidR="00935540" w:rsidRPr="00935540">
              <w:rPr>
                <w:sz w:val="22"/>
                <w:szCs w:val="22"/>
              </w:rPr>
              <w:t>a</w:t>
            </w:r>
            <w:r w:rsidRPr="00935540">
              <w:rPr>
                <w:sz w:val="22"/>
                <w:szCs w:val="22"/>
              </w:rPr>
              <w:t xml:space="preserve">nd Dining Room) Village of Gulistan </w:t>
            </w:r>
            <w:r w:rsidR="00935540" w:rsidRPr="00935540">
              <w:rPr>
                <w:sz w:val="22"/>
                <w:szCs w:val="22"/>
              </w:rPr>
              <w:t>o</w:t>
            </w:r>
            <w:r w:rsidRPr="00935540">
              <w:rPr>
                <w:sz w:val="22"/>
                <w:szCs w:val="22"/>
              </w:rPr>
              <w:t>f Kulob City</w:t>
            </w:r>
          </w:p>
        </w:tc>
        <w:tc>
          <w:tcPr>
            <w:tcW w:w="1122" w:type="dxa"/>
            <w:vMerge w:val="restart"/>
          </w:tcPr>
          <w:p w14:paraId="149C6329" w14:textId="1D1AACA3" w:rsidR="00276CD2" w:rsidRPr="00935540" w:rsidRDefault="00782A99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860,000</w:t>
            </w:r>
            <w:r w:rsidRPr="00935540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1362" w:type="dxa"/>
            <w:vMerge w:val="restart"/>
          </w:tcPr>
          <w:p w14:paraId="4E94E420" w14:textId="11F884DF" w:rsidR="00276CD2" w:rsidRPr="00935540" w:rsidRDefault="00782A99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258,000.00</w:t>
            </w:r>
          </w:p>
        </w:tc>
        <w:tc>
          <w:tcPr>
            <w:tcW w:w="1206" w:type="dxa"/>
            <w:vMerge w:val="restart"/>
          </w:tcPr>
          <w:p w14:paraId="41007D5C" w14:textId="13D51E55" w:rsidR="00276CD2" w:rsidRPr="00935540" w:rsidRDefault="00782A99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</w:rPr>
              <w:t>143,333.00</w:t>
            </w:r>
          </w:p>
        </w:tc>
        <w:tc>
          <w:tcPr>
            <w:tcW w:w="1130" w:type="dxa"/>
            <w:vMerge w:val="restart"/>
          </w:tcPr>
          <w:p w14:paraId="4AD6152D" w14:textId="54E66F0B" w:rsidR="00276CD2" w:rsidRPr="00935540" w:rsidRDefault="00782A99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8,600.00</w:t>
            </w:r>
          </w:p>
        </w:tc>
      </w:tr>
      <w:tr w:rsidR="00276CD2" w:rsidRPr="00935540" w14:paraId="39E6631F" w14:textId="77777777" w:rsidTr="00460817">
        <w:trPr>
          <w:trHeight w:val="550"/>
        </w:trPr>
        <w:tc>
          <w:tcPr>
            <w:tcW w:w="1682" w:type="dxa"/>
            <w:vMerge/>
          </w:tcPr>
          <w:p w14:paraId="1FF02A13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558" w:type="dxa"/>
          </w:tcPr>
          <w:p w14:paraId="5B8ACEC0" w14:textId="748793A7" w:rsidR="00276CD2" w:rsidRPr="00935540" w:rsidRDefault="00782A99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 xml:space="preserve">Lot No.2: Construction Of Building of Lyceum, Village Orion of </w:t>
            </w:r>
            <w:proofErr w:type="spellStart"/>
            <w:r w:rsidRPr="00935540">
              <w:rPr>
                <w:sz w:val="22"/>
                <w:szCs w:val="22"/>
              </w:rPr>
              <w:t>Farkhor</w:t>
            </w:r>
            <w:proofErr w:type="spellEnd"/>
            <w:r w:rsidRPr="00935540">
              <w:rPr>
                <w:sz w:val="22"/>
                <w:szCs w:val="22"/>
              </w:rPr>
              <w:t xml:space="preserve"> District</w:t>
            </w:r>
          </w:p>
        </w:tc>
        <w:tc>
          <w:tcPr>
            <w:tcW w:w="1122" w:type="dxa"/>
            <w:vMerge/>
          </w:tcPr>
          <w:p w14:paraId="772A9043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36ED457D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</w:tcPr>
          <w:p w14:paraId="478F9CA9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B79C779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76CD2" w:rsidRPr="00935540" w14:paraId="5F7A1565" w14:textId="77777777" w:rsidTr="00460817">
        <w:trPr>
          <w:trHeight w:val="550"/>
        </w:trPr>
        <w:tc>
          <w:tcPr>
            <w:tcW w:w="1682" w:type="dxa"/>
            <w:vMerge w:val="restart"/>
          </w:tcPr>
          <w:p w14:paraId="17AD7471" w14:textId="644BEE99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</w:rPr>
              <w:t>Contract No. CESP-GDS-05: Supply of Furniture and</w:t>
            </w:r>
            <w:r w:rsidR="00935540" w:rsidRPr="00935540">
              <w:rPr>
                <w:bCs/>
                <w:sz w:val="22"/>
                <w:szCs w:val="22"/>
              </w:rPr>
              <w:t xml:space="preserve"> Equipment</w:t>
            </w:r>
          </w:p>
        </w:tc>
        <w:tc>
          <w:tcPr>
            <w:tcW w:w="3558" w:type="dxa"/>
          </w:tcPr>
          <w:p w14:paraId="7458CBEB" w14:textId="684BE58B" w:rsidR="00276CD2" w:rsidRPr="00935540" w:rsidRDefault="00782A99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_Hlk228185619"/>
            <w:r w:rsidRPr="00935540">
              <w:rPr>
                <w:sz w:val="22"/>
                <w:szCs w:val="22"/>
              </w:rPr>
              <w:t>Lot No.</w:t>
            </w:r>
            <w:proofErr w:type="gramStart"/>
            <w:r w:rsidRPr="00935540">
              <w:rPr>
                <w:sz w:val="22"/>
                <w:szCs w:val="22"/>
              </w:rPr>
              <w:t>1:Construction</w:t>
            </w:r>
            <w:proofErr w:type="gramEnd"/>
            <w:r w:rsidRPr="00935540">
              <w:rPr>
                <w:sz w:val="22"/>
                <w:szCs w:val="22"/>
              </w:rPr>
              <w:t xml:space="preserve"> </w:t>
            </w:r>
            <w:r w:rsidR="00935540">
              <w:rPr>
                <w:sz w:val="22"/>
                <w:szCs w:val="22"/>
              </w:rPr>
              <w:t>o</w:t>
            </w:r>
            <w:r w:rsidRPr="00935540">
              <w:rPr>
                <w:sz w:val="22"/>
                <w:szCs w:val="22"/>
              </w:rPr>
              <w:t xml:space="preserve">f Boarding School for Orphans, Village </w:t>
            </w:r>
            <w:proofErr w:type="spellStart"/>
            <w:r w:rsidRPr="00935540">
              <w:rPr>
                <w:sz w:val="22"/>
                <w:szCs w:val="22"/>
              </w:rPr>
              <w:t>Darband</w:t>
            </w:r>
            <w:proofErr w:type="spellEnd"/>
            <w:r w:rsidRPr="00935540">
              <w:rPr>
                <w:sz w:val="22"/>
                <w:szCs w:val="22"/>
              </w:rPr>
              <w:t xml:space="preserve"> of </w:t>
            </w:r>
            <w:proofErr w:type="spellStart"/>
            <w:r w:rsidRPr="00935540">
              <w:rPr>
                <w:sz w:val="22"/>
                <w:szCs w:val="22"/>
              </w:rPr>
              <w:t>Nurobod</w:t>
            </w:r>
            <w:proofErr w:type="spellEnd"/>
            <w:r w:rsidRPr="00935540">
              <w:rPr>
                <w:sz w:val="22"/>
                <w:szCs w:val="22"/>
              </w:rPr>
              <w:t xml:space="preserve"> District</w:t>
            </w:r>
            <w:bookmarkEnd w:id="0"/>
            <w:r w:rsidRPr="00935540">
              <w:rPr>
                <w:sz w:val="22"/>
                <w:szCs w:val="22"/>
              </w:rPr>
              <w:t xml:space="preserve">                                                                                         </w:t>
            </w:r>
          </w:p>
        </w:tc>
        <w:tc>
          <w:tcPr>
            <w:tcW w:w="1122" w:type="dxa"/>
            <w:vMerge w:val="restart"/>
          </w:tcPr>
          <w:p w14:paraId="0D93F168" w14:textId="2BDE514E" w:rsidR="00276CD2" w:rsidRPr="00935540" w:rsidRDefault="00782A99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860,000</w:t>
            </w:r>
            <w:r w:rsidRPr="00935540">
              <w:rPr>
                <w:bCs/>
                <w:sz w:val="22"/>
                <w:szCs w:val="22"/>
              </w:rPr>
              <w:t>.00</w:t>
            </w:r>
          </w:p>
        </w:tc>
        <w:tc>
          <w:tcPr>
            <w:tcW w:w="1362" w:type="dxa"/>
            <w:vMerge w:val="restart"/>
          </w:tcPr>
          <w:p w14:paraId="7FA0E025" w14:textId="241E3030" w:rsidR="00276CD2" w:rsidRPr="00935540" w:rsidRDefault="00782A99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  <w:lang w:val="en-US"/>
              </w:rPr>
              <w:t>258,000.00</w:t>
            </w:r>
          </w:p>
        </w:tc>
        <w:tc>
          <w:tcPr>
            <w:tcW w:w="1206" w:type="dxa"/>
            <w:vMerge w:val="restart"/>
          </w:tcPr>
          <w:p w14:paraId="59C3E293" w14:textId="5C106A02" w:rsidR="00276CD2" w:rsidRPr="00935540" w:rsidRDefault="00782A99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935540">
              <w:rPr>
                <w:bCs/>
                <w:sz w:val="22"/>
                <w:szCs w:val="22"/>
              </w:rPr>
              <w:t>143,333.00</w:t>
            </w:r>
          </w:p>
        </w:tc>
        <w:tc>
          <w:tcPr>
            <w:tcW w:w="1130" w:type="dxa"/>
            <w:vMerge w:val="restart"/>
          </w:tcPr>
          <w:p w14:paraId="4AD81A69" w14:textId="4C49B424" w:rsidR="00276CD2" w:rsidRPr="00935540" w:rsidRDefault="00782A99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  <w:lang w:val="en-US"/>
              </w:rPr>
              <w:t>8,600.00</w:t>
            </w:r>
          </w:p>
        </w:tc>
      </w:tr>
      <w:tr w:rsidR="00276CD2" w:rsidRPr="00935540" w14:paraId="18A8AFDF" w14:textId="77777777" w:rsidTr="00460817">
        <w:trPr>
          <w:trHeight w:val="550"/>
        </w:trPr>
        <w:tc>
          <w:tcPr>
            <w:tcW w:w="1682" w:type="dxa"/>
            <w:vMerge/>
          </w:tcPr>
          <w:p w14:paraId="40400322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3558" w:type="dxa"/>
          </w:tcPr>
          <w:p w14:paraId="72C4F688" w14:textId="0D4EE7D1" w:rsidR="00276CD2" w:rsidRPr="00935540" w:rsidRDefault="00782A99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5540">
              <w:rPr>
                <w:sz w:val="22"/>
                <w:szCs w:val="22"/>
              </w:rPr>
              <w:t xml:space="preserve">Lot No.2: Construction of Secondary School, Village Sari </w:t>
            </w:r>
            <w:proofErr w:type="spellStart"/>
            <w:r w:rsidRPr="00935540">
              <w:rPr>
                <w:sz w:val="22"/>
                <w:szCs w:val="22"/>
              </w:rPr>
              <w:t>Safedkhok</w:t>
            </w:r>
            <w:proofErr w:type="spellEnd"/>
            <w:r w:rsidRPr="00935540">
              <w:rPr>
                <w:sz w:val="22"/>
                <w:szCs w:val="22"/>
              </w:rPr>
              <w:t xml:space="preserve">, </w:t>
            </w:r>
            <w:proofErr w:type="spellStart"/>
            <w:r w:rsidRPr="00935540">
              <w:rPr>
                <w:sz w:val="22"/>
                <w:szCs w:val="22"/>
              </w:rPr>
              <w:t>Jamoat</w:t>
            </w:r>
            <w:proofErr w:type="spellEnd"/>
            <w:r w:rsidRPr="00935540">
              <w:rPr>
                <w:sz w:val="22"/>
                <w:szCs w:val="22"/>
              </w:rPr>
              <w:t xml:space="preserve"> </w:t>
            </w:r>
            <w:proofErr w:type="spellStart"/>
            <w:r w:rsidRPr="00935540">
              <w:rPr>
                <w:sz w:val="22"/>
                <w:szCs w:val="22"/>
              </w:rPr>
              <w:t>Chasmasor</w:t>
            </w:r>
            <w:proofErr w:type="spellEnd"/>
            <w:r w:rsidRPr="00935540">
              <w:rPr>
                <w:sz w:val="22"/>
                <w:szCs w:val="22"/>
              </w:rPr>
              <w:t xml:space="preserve"> of </w:t>
            </w:r>
            <w:proofErr w:type="spellStart"/>
            <w:proofErr w:type="gramStart"/>
            <w:r w:rsidRPr="00935540">
              <w:rPr>
                <w:sz w:val="22"/>
                <w:szCs w:val="22"/>
              </w:rPr>
              <w:t>Fayzabad</w:t>
            </w:r>
            <w:proofErr w:type="spellEnd"/>
            <w:r w:rsidRPr="00935540">
              <w:rPr>
                <w:sz w:val="22"/>
                <w:szCs w:val="22"/>
              </w:rPr>
              <w:t xml:space="preserve">  District</w:t>
            </w:r>
            <w:proofErr w:type="gramEnd"/>
          </w:p>
        </w:tc>
        <w:tc>
          <w:tcPr>
            <w:tcW w:w="1122" w:type="dxa"/>
            <w:vMerge/>
          </w:tcPr>
          <w:p w14:paraId="0932AEAE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62" w:type="dxa"/>
            <w:vMerge/>
          </w:tcPr>
          <w:p w14:paraId="7863F2A5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6" w:type="dxa"/>
            <w:vMerge/>
          </w:tcPr>
          <w:p w14:paraId="2D608EF1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C5875B6" w14:textId="77777777" w:rsidR="00276CD2" w:rsidRPr="00935540" w:rsidRDefault="00276CD2" w:rsidP="00216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BB26541" w14:textId="5B1210BF" w:rsidR="002168E7" w:rsidRPr="00935540" w:rsidRDefault="002168E7" w:rsidP="002168E7">
      <w:pPr>
        <w:jc w:val="left"/>
        <w:rPr>
          <w:sz w:val="22"/>
          <w:szCs w:val="22"/>
        </w:rPr>
      </w:pPr>
    </w:p>
    <w:p w14:paraId="5C1A3368" w14:textId="4EDDDD4A" w:rsidR="002168E7" w:rsidRPr="00935540" w:rsidRDefault="002168E7" w:rsidP="00AE3D6E">
      <w:pPr>
        <w:autoSpaceDE w:val="0"/>
        <w:autoSpaceDN w:val="0"/>
        <w:adjustRightInd w:val="0"/>
        <w:ind w:right="-705"/>
        <w:rPr>
          <w:sz w:val="22"/>
          <w:szCs w:val="22"/>
        </w:rPr>
      </w:pPr>
      <w:r w:rsidRPr="00935540">
        <w:rPr>
          <w:sz w:val="22"/>
          <w:szCs w:val="22"/>
        </w:rPr>
        <w:t xml:space="preserve">Tendering for contract to be financed with the proceeds of the loan from the SFD is open to </w:t>
      </w:r>
      <w:r w:rsidR="003F5187">
        <w:rPr>
          <w:sz w:val="22"/>
          <w:szCs w:val="22"/>
        </w:rPr>
        <w:t xml:space="preserve">Saudi and Tajik </w:t>
      </w:r>
      <w:r w:rsidRPr="00935540">
        <w:rPr>
          <w:sz w:val="22"/>
          <w:szCs w:val="22"/>
        </w:rPr>
        <w:t>firms.</w:t>
      </w:r>
    </w:p>
    <w:p w14:paraId="7432F6D8" w14:textId="77777777" w:rsidR="002168E7" w:rsidRPr="00935540" w:rsidRDefault="002168E7" w:rsidP="00AE3D6E">
      <w:pPr>
        <w:autoSpaceDE w:val="0"/>
        <w:autoSpaceDN w:val="0"/>
        <w:adjustRightInd w:val="0"/>
        <w:ind w:right="-705"/>
        <w:rPr>
          <w:sz w:val="22"/>
          <w:szCs w:val="22"/>
        </w:rPr>
      </w:pPr>
    </w:p>
    <w:p w14:paraId="5B273AA9" w14:textId="77777777" w:rsidR="002168E7" w:rsidRPr="00935540" w:rsidRDefault="002168E7" w:rsidP="00AE3D6E">
      <w:pPr>
        <w:ind w:right="-705"/>
        <w:rPr>
          <w:sz w:val="22"/>
          <w:szCs w:val="22"/>
        </w:rPr>
      </w:pPr>
      <w:r w:rsidRPr="00935540">
        <w:rPr>
          <w:sz w:val="22"/>
          <w:szCs w:val="22"/>
        </w:rPr>
        <w:t>Tender documents may be obtained upon request directed to the Purchaser at the address below, after making a non-refundable fee in the amount of USD 100.00 or TJS equivalent to the following Bank account:</w:t>
      </w:r>
    </w:p>
    <w:p w14:paraId="0B024FDF" w14:textId="77777777" w:rsidR="002168E7" w:rsidRPr="00935540" w:rsidRDefault="002168E7" w:rsidP="002168E7">
      <w:pPr>
        <w:ind w:right="-45"/>
        <w:rPr>
          <w:sz w:val="22"/>
          <w:szCs w:val="22"/>
        </w:rPr>
      </w:pPr>
    </w:p>
    <w:p w14:paraId="72BED5C1" w14:textId="77777777" w:rsidR="002168E7" w:rsidRPr="00935540" w:rsidRDefault="002168E7" w:rsidP="002168E7">
      <w:pPr>
        <w:spacing w:line="276" w:lineRule="auto"/>
        <w:rPr>
          <w:rFonts w:eastAsia="Calibri"/>
          <w:sz w:val="22"/>
          <w:szCs w:val="22"/>
          <w:lang w:val="en-US"/>
        </w:rPr>
      </w:pPr>
      <w:r w:rsidRPr="00935540">
        <w:rPr>
          <w:rFonts w:eastAsia="Calibri"/>
          <w:sz w:val="22"/>
          <w:szCs w:val="22"/>
          <w:lang w:val="en-US"/>
        </w:rPr>
        <w:t>State Enterprise «Project Implementation Unit for</w:t>
      </w:r>
    </w:p>
    <w:p w14:paraId="1E1B52B6" w14:textId="77777777" w:rsidR="002168E7" w:rsidRPr="00935540" w:rsidRDefault="002168E7" w:rsidP="002168E7">
      <w:pPr>
        <w:spacing w:line="276" w:lineRule="auto"/>
        <w:rPr>
          <w:rFonts w:eastAsia="Calibri"/>
          <w:sz w:val="22"/>
          <w:szCs w:val="22"/>
          <w:lang w:val="en-US"/>
        </w:rPr>
      </w:pPr>
      <w:r w:rsidRPr="00935540">
        <w:rPr>
          <w:rFonts w:eastAsia="Calibri"/>
          <w:sz w:val="22"/>
          <w:szCs w:val="22"/>
          <w:lang w:val="en-US"/>
        </w:rPr>
        <w:t>«Construction and Equipping of Schools»</w:t>
      </w:r>
    </w:p>
    <w:p w14:paraId="1940E4DD" w14:textId="77777777" w:rsidR="002168E7" w:rsidRPr="00935540" w:rsidRDefault="002168E7" w:rsidP="002168E7">
      <w:pPr>
        <w:spacing w:line="276" w:lineRule="auto"/>
        <w:rPr>
          <w:rFonts w:eastAsia="Calibri"/>
          <w:sz w:val="22"/>
          <w:szCs w:val="22"/>
          <w:lang w:val="en-US"/>
        </w:rPr>
      </w:pPr>
      <w:proofErr w:type="spellStart"/>
      <w:r w:rsidRPr="00935540">
        <w:rPr>
          <w:rFonts w:eastAsia="Calibri"/>
          <w:sz w:val="22"/>
          <w:szCs w:val="22"/>
          <w:lang w:val="en-US"/>
        </w:rPr>
        <w:t>Shohmansur</w:t>
      </w:r>
      <w:proofErr w:type="spellEnd"/>
      <w:r w:rsidRPr="00935540">
        <w:rPr>
          <w:rFonts w:eastAsia="Calibri"/>
          <w:sz w:val="22"/>
          <w:szCs w:val="22"/>
          <w:lang w:val="en-US"/>
        </w:rPr>
        <w:t xml:space="preserve"> district, </w:t>
      </w:r>
      <w:proofErr w:type="spellStart"/>
      <w:r w:rsidRPr="00935540">
        <w:rPr>
          <w:rFonts w:eastAsia="Calibri"/>
          <w:sz w:val="22"/>
          <w:szCs w:val="22"/>
          <w:lang w:val="en-US"/>
        </w:rPr>
        <w:t>Nisor</w:t>
      </w:r>
      <w:proofErr w:type="spellEnd"/>
      <w:r w:rsidRPr="00935540">
        <w:rPr>
          <w:rFonts w:eastAsia="Calibri"/>
          <w:sz w:val="22"/>
          <w:szCs w:val="22"/>
          <w:lang w:val="en-US"/>
        </w:rPr>
        <w:t xml:space="preserve"> Muhammad-13A Avenue </w:t>
      </w:r>
    </w:p>
    <w:p w14:paraId="6998B678" w14:textId="77777777" w:rsidR="002168E7" w:rsidRPr="00935540" w:rsidRDefault="002168E7" w:rsidP="002168E7">
      <w:pPr>
        <w:spacing w:line="276" w:lineRule="auto"/>
        <w:rPr>
          <w:rFonts w:eastAsia="Calibri"/>
          <w:sz w:val="22"/>
          <w:szCs w:val="22"/>
          <w:lang w:val="en-US"/>
        </w:rPr>
      </w:pPr>
      <w:r w:rsidRPr="00935540">
        <w:rPr>
          <w:rFonts w:eastAsia="Calibri"/>
          <w:sz w:val="22"/>
          <w:szCs w:val="22"/>
          <w:lang w:val="en-US"/>
        </w:rPr>
        <w:t>SSB RT «</w:t>
      </w:r>
      <w:proofErr w:type="spellStart"/>
      <w:r w:rsidRPr="00935540">
        <w:rPr>
          <w:rFonts w:eastAsia="Calibri"/>
          <w:sz w:val="22"/>
          <w:szCs w:val="22"/>
          <w:lang w:val="en-US"/>
        </w:rPr>
        <w:t>Amonatbonk</w:t>
      </w:r>
      <w:proofErr w:type="spellEnd"/>
      <w:r w:rsidRPr="00935540">
        <w:rPr>
          <w:rFonts w:eastAsia="Calibri"/>
          <w:b/>
          <w:sz w:val="22"/>
          <w:szCs w:val="22"/>
          <w:lang w:val="en-US"/>
        </w:rPr>
        <w:t>»</w:t>
      </w:r>
    </w:p>
    <w:p w14:paraId="229CFEAD" w14:textId="77777777" w:rsidR="002168E7" w:rsidRPr="00935540" w:rsidRDefault="002168E7" w:rsidP="002168E7">
      <w:pPr>
        <w:spacing w:line="276" w:lineRule="auto"/>
        <w:rPr>
          <w:rFonts w:eastAsia="Calibri"/>
          <w:sz w:val="22"/>
          <w:szCs w:val="22"/>
          <w:lang w:val="en-US"/>
        </w:rPr>
      </w:pPr>
      <w:r w:rsidRPr="00935540">
        <w:rPr>
          <w:rFonts w:eastAsia="Calibri"/>
          <w:sz w:val="22"/>
          <w:szCs w:val="22"/>
          <w:lang w:val="en-US"/>
        </w:rPr>
        <w:t>S/a 20202972500449101000</w:t>
      </w:r>
    </w:p>
    <w:p w14:paraId="7BE2E798" w14:textId="77777777" w:rsidR="002168E7" w:rsidRPr="00935540" w:rsidRDefault="002168E7" w:rsidP="002168E7">
      <w:pPr>
        <w:spacing w:line="276" w:lineRule="auto"/>
        <w:rPr>
          <w:rFonts w:eastAsia="Calibri"/>
          <w:sz w:val="22"/>
          <w:szCs w:val="22"/>
          <w:lang w:val="en-US"/>
        </w:rPr>
      </w:pPr>
      <w:r w:rsidRPr="00935540">
        <w:rPr>
          <w:rFonts w:eastAsia="Calibri"/>
          <w:sz w:val="22"/>
          <w:szCs w:val="22"/>
          <w:lang w:val="en-US"/>
        </w:rPr>
        <w:t>MFO 350101626</w:t>
      </w:r>
    </w:p>
    <w:p w14:paraId="4ADBADA0" w14:textId="77777777" w:rsidR="002168E7" w:rsidRPr="00935540" w:rsidRDefault="002168E7" w:rsidP="002168E7">
      <w:pPr>
        <w:spacing w:line="276" w:lineRule="auto"/>
        <w:rPr>
          <w:rFonts w:eastAsia="Calibri"/>
          <w:sz w:val="22"/>
          <w:szCs w:val="22"/>
          <w:lang w:val="en-US"/>
        </w:rPr>
      </w:pPr>
      <w:r w:rsidRPr="00935540">
        <w:rPr>
          <w:rFonts w:eastAsia="Calibri"/>
          <w:sz w:val="22"/>
          <w:szCs w:val="22"/>
          <w:lang w:val="en-US"/>
        </w:rPr>
        <w:t>TIN 010094953</w:t>
      </w:r>
    </w:p>
    <w:p w14:paraId="68A0B341" w14:textId="77777777" w:rsidR="002168E7" w:rsidRPr="00935540" w:rsidRDefault="002168E7" w:rsidP="002168E7">
      <w:pPr>
        <w:spacing w:line="276" w:lineRule="auto"/>
        <w:rPr>
          <w:rFonts w:eastAsia="Calibri"/>
          <w:sz w:val="22"/>
          <w:szCs w:val="22"/>
          <w:lang w:val="en-US"/>
        </w:rPr>
      </w:pPr>
      <w:r w:rsidRPr="00935540">
        <w:rPr>
          <w:rFonts w:eastAsia="Calibri"/>
          <w:sz w:val="22"/>
          <w:szCs w:val="22"/>
          <w:lang w:val="en-US"/>
        </w:rPr>
        <w:t>C/a 20402972316264</w:t>
      </w:r>
    </w:p>
    <w:p w14:paraId="7809C689" w14:textId="77777777" w:rsidR="002168E7" w:rsidRPr="00935540" w:rsidRDefault="002168E7" w:rsidP="002168E7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2A1274A0" w14:textId="77777777" w:rsidR="002168E7" w:rsidRPr="00935540" w:rsidRDefault="002168E7" w:rsidP="00AE3D6E">
      <w:pPr>
        <w:autoSpaceDE w:val="0"/>
        <w:autoSpaceDN w:val="0"/>
        <w:adjustRightInd w:val="0"/>
        <w:ind w:right="-705"/>
        <w:rPr>
          <w:sz w:val="22"/>
          <w:szCs w:val="22"/>
        </w:rPr>
      </w:pPr>
      <w:r w:rsidRPr="00935540">
        <w:rPr>
          <w:sz w:val="22"/>
          <w:szCs w:val="22"/>
        </w:rPr>
        <w:t>Tender documents may be obtained from the office at the address below and or will be dispatched electronically.</w:t>
      </w:r>
    </w:p>
    <w:p w14:paraId="2110E589" w14:textId="77777777" w:rsidR="002168E7" w:rsidRPr="00935540" w:rsidRDefault="002168E7" w:rsidP="00AE3D6E">
      <w:pPr>
        <w:autoSpaceDE w:val="0"/>
        <w:autoSpaceDN w:val="0"/>
        <w:adjustRightInd w:val="0"/>
        <w:ind w:right="-705"/>
        <w:rPr>
          <w:sz w:val="22"/>
          <w:szCs w:val="22"/>
        </w:rPr>
      </w:pPr>
    </w:p>
    <w:p w14:paraId="067AF98C" w14:textId="3F7DB924" w:rsidR="002168E7" w:rsidRPr="00935540" w:rsidRDefault="002168E7" w:rsidP="00AE3D6E">
      <w:pPr>
        <w:autoSpaceDE w:val="0"/>
        <w:autoSpaceDN w:val="0"/>
        <w:adjustRightInd w:val="0"/>
        <w:ind w:right="-705"/>
        <w:rPr>
          <w:sz w:val="22"/>
          <w:szCs w:val="22"/>
        </w:rPr>
      </w:pPr>
      <w:r w:rsidRPr="00935540">
        <w:rPr>
          <w:sz w:val="22"/>
          <w:szCs w:val="22"/>
        </w:rPr>
        <w:t xml:space="preserve">Tenders must be delivered in hard copy to the office at the address below on or before </w:t>
      </w:r>
      <w:r w:rsidR="00AE3D6E" w:rsidRPr="00460817">
        <w:rPr>
          <w:sz w:val="22"/>
          <w:szCs w:val="22"/>
          <w:lang w:val="tg-Cyrl-TJ"/>
        </w:rPr>
        <w:t>2</w:t>
      </w:r>
      <w:r w:rsidR="003E709F">
        <w:rPr>
          <w:sz w:val="22"/>
          <w:szCs w:val="22"/>
          <w:lang w:val="tg-Cyrl-TJ"/>
        </w:rPr>
        <w:t>4</w:t>
      </w:r>
      <w:proofErr w:type="spellStart"/>
      <w:r w:rsidR="00AE3D6E" w:rsidRPr="00460817">
        <w:rPr>
          <w:sz w:val="22"/>
          <w:szCs w:val="22"/>
          <w:vertAlign w:val="superscript"/>
          <w:lang w:val="en-US"/>
        </w:rPr>
        <w:t>th</w:t>
      </w:r>
      <w:proofErr w:type="spellEnd"/>
      <w:r w:rsidR="00AE3D6E" w:rsidRPr="00460817">
        <w:rPr>
          <w:sz w:val="22"/>
          <w:szCs w:val="22"/>
          <w:lang w:val="en-US"/>
        </w:rPr>
        <w:t xml:space="preserve"> </w:t>
      </w:r>
      <w:r w:rsidR="003E709F">
        <w:rPr>
          <w:sz w:val="22"/>
          <w:szCs w:val="22"/>
          <w:lang w:val="en-US"/>
        </w:rPr>
        <w:t>August</w:t>
      </w:r>
      <w:r w:rsidR="00AE3D6E" w:rsidRPr="00460817">
        <w:rPr>
          <w:sz w:val="22"/>
          <w:szCs w:val="22"/>
          <w:lang w:val="en-US"/>
        </w:rPr>
        <w:t>, 2026,</w:t>
      </w:r>
      <w:r w:rsidRPr="00460817">
        <w:rPr>
          <w:sz w:val="22"/>
          <w:szCs w:val="22"/>
        </w:rPr>
        <w:t xml:space="preserve"> </w:t>
      </w:r>
      <w:r w:rsidRPr="00935540">
        <w:rPr>
          <w:sz w:val="22"/>
          <w:szCs w:val="22"/>
        </w:rPr>
        <w:t xml:space="preserve">at 14:00 local time, at which time they will be opened in the presence of those tenderers’ representatives who choose to attend. </w:t>
      </w:r>
    </w:p>
    <w:p w14:paraId="36C42B94" w14:textId="77777777" w:rsidR="002168E7" w:rsidRPr="00935540" w:rsidRDefault="002168E7" w:rsidP="002168E7">
      <w:pPr>
        <w:autoSpaceDE w:val="0"/>
        <w:autoSpaceDN w:val="0"/>
        <w:adjustRightInd w:val="0"/>
        <w:rPr>
          <w:sz w:val="22"/>
          <w:szCs w:val="22"/>
        </w:rPr>
      </w:pPr>
    </w:p>
    <w:p w14:paraId="1EC89DB1" w14:textId="77777777" w:rsidR="002168E7" w:rsidRPr="00935540" w:rsidRDefault="002168E7" w:rsidP="002168E7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935540">
        <w:rPr>
          <w:sz w:val="22"/>
          <w:szCs w:val="22"/>
        </w:rPr>
        <w:t>State Committee on Investments and State Property Management of the Republic of Tajikistan</w:t>
      </w:r>
    </w:p>
    <w:p w14:paraId="0A57F811" w14:textId="77777777" w:rsidR="008A4CE5" w:rsidRPr="008A4CE5" w:rsidRDefault="008A4CE5" w:rsidP="002168E7">
      <w:pPr>
        <w:autoSpaceDE w:val="0"/>
        <w:autoSpaceDN w:val="0"/>
        <w:adjustRightInd w:val="0"/>
        <w:ind w:left="720"/>
        <w:rPr>
          <w:lang w:val="en-US"/>
        </w:rPr>
      </w:pPr>
      <w:r w:rsidRPr="00181341">
        <w:t xml:space="preserve">40 </w:t>
      </w:r>
      <w:proofErr w:type="spellStart"/>
      <w:r w:rsidRPr="00181341">
        <w:t>Rudaki</w:t>
      </w:r>
      <w:proofErr w:type="spellEnd"/>
      <w:r w:rsidRPr="00181341">
        <w:t xml:space="preserve"> Avenue, 2nd floor, office 23.</w:t>
      </w:r>
    </w:p>
    <w:p w14:paraId="3F894C80" w14:textId="05802033" w:rsidR="002168E7" w:rsidRPr="00AE3D6E" w:rsidRDefault="002168E7" w:rsidP="002168E7">
      <w:pPr>
        <w:autoSpaceDE w:val="0"/>
        <w:autoSpaceDN w:val="0"/>
        <w:adjustRightInd w:val="0"/>
        <w:ind w:left="720"/>
        <w:rPr>
          <w:sz w:val="22"/>
          <w:szCs w:val="22"/>
          <w:lang w:val="en-US"/>
        </w:rPr>
      </w:pPr>
      <w:r w:rsidRPr="00935540">
        <w:rPr>
          <w:sz w:val="22"/>
          <w:szCs w:val="22"/>
        </w:rPr>
        <w:t>Dushanbe</w:t>
      </w:r>
      <w:r w:rsidR="008A4CE5" w:rsidRPr="00AE3D6E">
        <w:rPr>
          <w:sz w:val="22"/>
          <w:szCs w:val="22"/>
          <w:lang w:val="en-US"/>
        </w:rPr>
        <w:t xml:space="preserve">, </w:t>
      </w:r>
      <w:r w:rsidRPr="00935540">
        <w:rPr>
          <w:sz w:val="22"/>
          <w:szCs w:val="22"/>
        </w:rPr>
        <w:t>Republic of Tajikistan</w:t>
      </w:r>
    </w:p>
    <w:p w14:paraId="27CE8BF1" w14:textId="7376DD5F" w:rsidR="008A4CE5" w:rsidRPr="008A4CE5" w:rsidRDefault="008A4CE5" w:rsidP="002168E7">
      <w:pPr>
        <w:autoSpaceDE w:val="0"/>
        <w:autoSpaceDN w:val="0"/>
        <w:adjustRightInd w:val="0"/>
        <w:ind w:left="720"/>
        <w:rPr>
          <w:sz w:val="22"/>
          <w:szCs w:val="22"/>
          <w:lang w:val="en-US"/>
        </w:rPr>
      </w:pPr>
      <w:r w:rsidRPr="00181341">
        <w:t>Telephone: (992 37) 221 83 84</w:t>
      </w:r>
    </w:p>
    <w:p w14:paraId="11489355" w14:textId="77777777" w:rsidR="002168E7" w:rsidRPr="00756438" w:rsidRDefault="002168E7" w:rsidP="002168E7">
      <w:pPr>
        <w:autoSpaceDE w:val="0"/>
        <w:autoSpaceDN w:val="0"/>
        <w:adjustRightInd w:val="0"/>
        <w:rPr>
          <w:sz w:val="22"/>
          <w:szCs w:val="22"/>
        </w:rPr>
      </w:pPr>
    </w:p>
    <w:p w14:paraId="2848ECA3" w14:textId="77777777" w:rsidR="002168E7" w:rsidRPr="00756438" w:rsidRDefault="002168E7" w:rsidP="002168E7">
      <w:pPr>
        <w:autoSpaceDE w:val="0"/>
        <w:autoSpaceDN w:val="0"/>
        <w:adjustRightInd w:val="0"/>
        <w:rPr>
          <w:sz w:val="22"/>
          <w:szCs w:val="22"/>
        </w:rPr>
      </w:pPr>
      <w:r w:rsidRPr="00756438">
        <w:rPr>
          <w:sz w:val="22"/>
          <w:szCs w:val="22"/>
        </w:rPr>
        <w:t>Prospective Tenderers may obtain further information from, as well as inspect and acquire the tender documents at the following office:</w:t>
      </w:r>
    </w:p>
    <w:p w14:paraId="10AAEB01" w14:textId="77777777" w:rsidR="002168E7" w:rsidRPr="00756438" w:rsidRDefault="002168E7" w:rsidP="002168E7">
      <w:pPr>
        <w:autoSpaceDE w:val="0"/>
        <w:autoSpaceDN w:val="0"/>
        <w:adjustRightInd w:val="0"/>
        <w:rPr>
          <w:sz w:val="22"/>
          <w:szCs w:val="22"/>
        </w:rPr>
      </w:pPr>
    </w:p>
    <w:p w14:paraId="08064B46" w14:textId="4B920D16" w:rsidR="002168E7" w:rsidRPr="00756438" w:rsidRDefault="002168E7" w:rsidP="002168E7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756438">
        <w:rPr>
          <w:sz w:val="22"/>
          <w:szCs w:val="22"/>
        </w:rPr>
        <w:t xml:space="preserve">State Enterprise “Project Implementation Unit” (“PIU”) </w:t>
      </w:r>
    </w:p>
    <w:p w14:paraId="748281F6" w14:textId="77777777" w:rsidR="002168E7" w:rsidRPr="00756438" w:rsidRDefault="002168E7" w:rsidP="002168E7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756438">
        <w:rPr>
          <w:sz w:val="22"/>
          <w:szCs w:val="22"/>
        </w:rPr>
        <w:t xml:space="preserve">Attention: </w:t>
      </w:r>
      <w:proofErr w:type="spellStart"/>
      <w:r w:rsidRPr="00756438">
        <w:rPr>
          <w:sz w:val="22"/>
          <w:szCs w:val="22"/>
        </w:rPr>
        <w:t>Sharifzoda</w:t>
      </w:r>
      <w:proofErr w:type="spellEnd"/>
      <w:r w:rsidRPr="00756438">
        <w:rPr>
          <w:sz w:val="22"/>
          <w:szCs w:val="22"/>
        </w:rPr>
        <w:t xml:space="preserve"> Bahrom, Director</w:t>
      </w:r>
    </w:p>
    <w:p w14:paraId="4DC0A9C9" w14:textId="77777777" w:rsidR="002168E7" w:rsidRPr="00756438" w:rsidRDefault="002168E7" w:rsidP="002168E7">
      <w:pPr>
        <w:autoSpaceDE w:val="0"/>
        <w:autoSpaceDN w:val="0"/>
        <w:adjustRightInd w:val="0"/>
        <w:ind w:left="720"/>
        <w:rPr>
          <w:sz w:val="22"/>
          <w:szCs w:val="22"/>
        </w:rPr>
      </w:pPr>
      <w:proofErr w:type="spellStart"/>
      <w:r w:rsidRPr="00756438">
        <w:rPr>
          <w:sz w:val="22"/>
          <w:szCs w:val="22"/>
        </w:rPr>
        <w:t>Nisor</w:t>
      </w:r>
      <w:proofErr w:type="spellEnd"/>
      <w:r w:rsidRPr="00756438">
        <w:rPr>
          <w:sz w:val="22"/>
          <w:szCs w:val="22"/>
        </w:rPr>
        <w:t xml:space="preserve"> Muhammad 13</w:t>
      </w:r>
      <w:r w:rsidRPr="00756438">
        <w:rPr>
          <w:sz w:val="22"/>
          <w:szCs w:val="22"/>
          <w:vertAlign w:val="superscript"/>
        </w:rPr>
        <w:t>a</w:t>
      </w:r>
      <w:r w:rsidRPr="00756438">
        <w:rPr>
          <w:sz w:val="22"/>
          <w:szCs w:val="22"/>
        </w:rPr>
        <w:t xml:space="preserve"> Street</w:t>
      </w:r>
    </w:p>
    <w:p w14:paraId="733E61C1" w14:textId="77777777" w:rsidR="002168E7" w:rsidRPr="00756438" w:rsidRDefault="002168E7" w:rsidP="002168E7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756438">
        <w:rPr>
          <w:sz w:val="22"/>
          <w:szCs w:val="22"/>
        </w:rPr>
        <w:t xml:space="preserve">734024 Dushanbe </w:t>
      </w:r>
    </w:p>
    <w:p w14:paraId="3B390BDF" w14:textId="77777777" w:rsidR="002168E7" w:rsidRPr="00756438" w:rsidRDefault="002168E7" w:rsidP="002168E7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756438">
        <w:rPr>
          <w:sz w:val="22"/>
          <w:szCs w:val="22"/>
        </w:rPr>
        <w:t>Republic of Tajikistan</w:t>
      </w:r>
    </w:p>
    <w:p w14:paraId="16892D13" w14:textId="4F004BE7" w:rsidR="002168E7" w:rsidRPr="00756438" w:rsidRDefault="002168E7" w:rsidP="002168E7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756438">
        <w:rPr>
          <w:sz w:val="22"/>
          <w:szCs w:val="22"/>
        </w:rPr>
        <w:t xml:space="preserve">Phone number:   992 372 270517 </w:t>
      </w:r>
    </w:p>
    <w:p w14:paraId="69EFD5D7" w14:textId="155DBA53" w:rsidR="002168E7" w:rsidRPr="00935540" w:rsidRDefault="002168E7" w:rsidP="00935540">
      <w:pPr>
        <w:autoSpaceDE w:val="0"/>
        <w:autoSpaceDN w:val="0"/>
        <w:adjustRightInd w:val="0"/>
        <w:ind w:left="720"/>
        <w:rPr>
          <w:sz w:val="22"/>
          <w:szCs w:val="22"/>
        </w:rPr>
      </w:pPr>
      <w:r w:rsidRPr="00756438">
        <w:rPr>
          <w:sz w:val="22"/>
          <w:szCs w:val="22"/>
        </w:rPr>
        <w:t xml:space="preserve">Electronic mail address: </w:t>
      </w:r>
      <w:hyperlink r:id="rId5" w:history="1">
        <w:r w:rsidRPr="00756438">
          <w:rPr>
            <w:rStyle w:val="ac"/>
            <w:rFonts w:eastAsiaTheme="majorEastAsia"/>
            <w:sz w:val="22"/>
            <w:szCs w:val="22"/>
          </w:rPr>
          <w:t>schools-equp.tj-sfd@mail.ru</w:t>
        </w:r>
      </w:hyperlink>
      <w:r w:rsidRPr="00756438">
        <w:rPr>
          <w:sz w:val="22"/>
          <w:szCs w:val="22"/>
        </w:rPr>
        <w:t xml:space="preserve">  </w:t>
      </w:r>
    </w:p>
    <w:sectPr w:rsidR="002168E7" w:rsidRPr="00935540" w:rsidSect="00935540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619A"/>
    <w:multiLevelType w:val="hybridMultilevel"/>
    <w:tmpl w:val="1F36C73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60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E7"/>
    <w:rsid w:val="000F5285"/>
    <w:rsid w:val="001C04D3"/>
    <w:rsid w:val="002168E7"/>
    <w:rsid w:val="00276CD2"/>
    <w:rsid w:val="002D40B6"/>
    <w:rsid w:val="003E709F"/>
    <w:rsid w:val="003E77F8"/>
    <w:rsid w:val="003F5187"/>
    <w:rsid w:val="00411E43"/>
    <w:rsid w:val="00421E37"/>
    <w:rsid w:val="00460817"/>
    <w:rsid w:val="006C164B"/>
    <w:rsid w:val="0070076F"/>
    <w:rsid w:val="00782A99"/>
    <w:rsid w:val="007C016C"/>
    <w:rsid w:val="008153EF"/>
    <w:rsid w:val="008A4CE5"/>
    <w:rsid w:val="00935540"/>
    <w:rsid w:val="0096561B"/>
    <w:rsid w:val="00AE3D6E"/>
    <w:rsid w:val="00C50090"/>
    <w:rsid w:val="00F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2633"/>
  <w15:chartTrackingRefBased/>
  <w15:docId w15:val="{12030670-2BBE-4582-9DD1-8300AE51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8E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6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8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8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8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8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8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68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68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68E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68E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68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68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68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68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68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6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8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6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68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68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68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68E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68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68E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68E7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2168E7"/>
    <w:rPr>
      <w:color w:val="0000FF"/>
      <w:u w:val="single"/>
    </w:rPr>
  </w:style>
  <w:style w:type="table" w:styleId="ad">
    <w:name w:val="Table Grid"/>
    <w:basedOn w:val="a1"/>
    <w:uiPriority w:val="39"/>
    <w:rsid w:val="0021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s-equp.tj-sf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Matiar Khan</dc:creator>
  <cp:keywords/>
  <dc:description/>
  <cp:lastModifiedBy>User</cp:lastModifiedBy>
  <cp:revision>9</cp:revision>
  <cp:lastPrinted>2026-06-18T11:16:00Z</cp:lastPrinted>
  <dcterms:created xsi:type="dcterms:W3CDTF">2026-06-18T10:22:00Z</dcterms:created>
  <dcterms:modified xsi:type="dcterms:W3CDTF">2026-07-03T07:52:00Z</dcterms:modified>
</cp:coreProperties>
</file>